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行楷" w:eastAsia="华文行楷"/>
          <w:sz w:val="84"/>
          <w:szCs w:val="84"/>
        </w:rPr>
      </w:pPr>
    </w:p>
    <w:p>
      <w:pPr>
        <w:jc w:val="center"/>
        <w:rPr>
          <w:rFonts w:ascii="华文行楷" w:eastAsia="华文行楷"/>
          <w:color w:val="FF0000"/>
          <w:sz w:val="84"/>
          <w:szCs w:val="84"/>
        </w:rPr>
      </w:pPr>
      <w:r>
        <w:rPr>
          <w:rFonts w:ascii="华文行楷" w:eastAsia="华文行楷"/>
          <w:color w:val="FF0000"/>
          <w:sz w:val="84"/>
          <w:szCs w:val="84"/>
        </w:rPr>
        <w:pict>
          <v:shape id="_x0000_i1025" o:spt="136" type="#_x0000_t136" style="height:81.75pt;width:386.25pt;" fillcolor="#FF0000" filled="t" coordsize="21600,21600">
            <v:path/>
            <v:fill on="t" focussize="0,0"/>
            <v:stroke color="#FFFFFF"/>
            <v:imagedata o:title=""/>
            <o:lock v:ext="edit" grouping="f" rotation="f" text="f" aspectratio="f"/>
            <v:textpath on="t" fitshape="t" fitpath="t" trim="t" xscale="f" string="会 员 动 态" style="font-family:华文新魏;font-size:54pt;font-weight:bold;v-text-align:center;"/>
            <w10:wrap type="none"/>
            <w10:anchorlock/>
          </v:shape>
        </w:pict>
      </w:r>
    </w:p>
    <w:p>
      <w:pPr>
        <w:jc w:val="center"/>
        <w:rPr>
          <w:rFonts w:hint="eastAsia" w:ascii="华文行楷" w:eastAsia="华文行楷"/>
          <w:color w:val="FF0000"/>
          <w:sz w:val="36"/>
          <w:szCs w:val="36"/>
          <w:lang w:eastAsia="zh-CN"/>
        </w:rPr>
      </w:pPr>
    </w:p>
    <w:p>
      <w:pPr>
        <w:jc w:val="center"/>
        <w:rPr>
          <w:rFonts w:hint="eastAsia" w:ascii="华文行楷" w:eastAsia="华文行楷"/>
          <w:color w:val="auto"/>
          <w:sz w:val="36"/>
          <w:szCs w:val="36"/>
          <w:lang w:val="en-US" w:eastAsia="zh-CN"/>
        </w:rPr>
      </w:pPr>
      <w:r>
        <w:rPr>
          <w:rFonts w:hint="eastAsia" w:ascii="华文行楷" w:eastAsia="华文行楷"/>
          <w:color w:val="auto"/>
          <w:sz w:val="36"/>
          <w:szCs w:val="36"/>
          <w:lang w:val="en-US" w:eastAsia="zh-CN"/>
        </w:rPr>
        <w:t>2021年</w:t>
      </w:r>
      <w:r>
        <w:rPr>
          <w:rFonts w:hint="eastAsia" w:ascii="华文行楷" w:eastAsia="华文行楷"/>
          <w:color w:val="auto"/>
          <w:sz w:val="36"/>
          <w:szCs w:val="36"/>
          <w:lang w:eastAsia="zh-CN"/>
        </w:rPr>
        <w:t>第</w:t>
      </w:r>
      <w:r>
        <w:rPr>
          <w:rFonts w:hint="eastAsia" w:ascii="华文行楷" w:eastAsia="华文行楷"/>
          <w:color w:val="auto"/>
          <w:sz w:val="36"/>
          <w:szCs w:val="36"/>
          <w:lang w:val="en-US" w:eastAsia="zh-CN"/>
        </w:rPr>
        <w:t>8期</w:t>
      </w:r>
    </w:p>
    <w:p>
      <w:pPr>
        <w:pStyle w:val="5"/>
        <w:rPr>
          <w:rFonts w:hint="eastAsia" w:ascii="仿宋" w:hAnsi="仿宋" w:eastAsia="仿宋" w:cs="仿宋"/>
          <w:b/>
          <w:bCs/>
          <w:sz w:val="32"/>
          <w:szCs w:val="32"/>
          <w:lang w:val="en-US" w:eastAsia="zh-CN"/>
        </w:rPr>
      </w:pPr>
      <w:r>
        <w:rPr>
          <w:rFonts w:hint="eastAsia" w:ascii="华文行楷" w:eastAsia="华文行楷"/>
          <w:color w:val="auto"/>
          <w:sz w:val="36"/>
          <w:szCs w:val="36"/>
          <w:lang w:val="en-US" w:eastAsia="zh-CN"/>
        </w:rPr>
        <w:t xml:space="preserve"> </w:t>
      </w:r>
      <w:r>
        <w:rPr>
          <w:rFonts w:hint="eastAsia" w:ascii="仿宋" w:hAnsi="仿宋" w:eastAsia="仿宋" w:cs="仿宋"/>
          <w:b/>
          <w:bCs w:val="0"/>
          <w:color w:val="FF0000"/>
          <w:sz w:val="32"/>
          <w:szCs w:val="32"/>
          <w:u w:val="thick"/>
        </w:rPr>
        <w:t xml:space="preserve">巴彦淖尔银行业协会秘书处 </w:t>
      </w:r>
      <w:r>
        <w:rPr>
          <w:rFonts w:hint="eastAsia" w:ascii="仿宋" w:hAnsi="仿宋" w:eastAsia="仿宋" w:cs="仿宋"/>
          <w:b w:val="0"/>
          <w:color w:val="FF0000"/>
          <w:sz w:val="32"/>
          <w:szCs w:val="32"/>
          <w:u w:val="thick"/>
        </w:rPr>
        <w:t xml:space="preserve">          </w:t>
      </w:r>
      <w:r>
        <w:rPr>
          <w:rFonts w:hint="eastAsia" w:ascii="仿宋" w:hAnsi="仿宋" w:eastAsia="仿宋" w:cs="仿宋"/>
          <w:b w:val="0"/>
          <w:color w:val="FF0000"/>
          <w:sz w:val="32"/>
          <w:szCs w:val="32"/>
          <w:u w:val="thick" w:color="FF0000"/>
        </w:rPr>
        <w:t>20</w:t>
      </w:r>
      <w:r>
        <w:rPr>
          <w:rFonts w:hint="eastAsia" w:ascii="仿宋" w:hAnsi="仿宋" w:eastAsia="仿宋" w:cs="仿宋"/>
          <w:b/>
          <w:color w:val="FF0000"/>
          <w:sz w:val="32"/>
          <w:szCs w:val="32"/>
          <w:u w:val="thick" w:color="FF0000"/>
          <w:lang w:val="en-US" w:eastAsia="zh-CN"/>
        </w:rPr>
        <w:t>21</w:t>
      </w:r>
      <w:r>
        <w:rPr>
          <w:rFonts w:hint="eastAsia" w:ascii="仿宋" w:hAnsi="仿宋" w:eastAsia="仿宋" w:cs="仿宋"/>
          <w:b w:val="0"/>
          <w:color w:val="FF0000"/>
          <w:sz w:val="32"/>
          <w:szCs w:val="32"/>
          <w:u w:val="thick" w:color="FF0000"/>
        </w:rPr>
        <w:t>年</w:t>
      </w:r>
      <w:r>
        <w:rPr>
          <w:rFonts w:hint="eastAsia" w:ascii="仿宋" w:hAnsi="仿宋" w:eastAsia="仿宋" w:cs="仿宋"/>
          <w:b/>
          <w:color w:val="FF0000"/>
          <w:sz w:val="32"/>
          <w:szCs w:val="32"/>
          <w:u w:val="thick" w:color="FF0000"/>
          <w:lang w:val="en-US" w:eastAsia="zh-CN"/>
        </w:rPr>
        <w:t>9</w:t>
      </w:r>
      <w:r>
        <w:rPr>
          <w:rFonts w:hint="eastAsia" w:ascii="仿宋" w:hAnsi="仿宋" w:eastAsia="仿宋" w:cs="仿宋"/>
          <w:b w:val="0"/>
          <w:color w:val="FF0000"/>
          <w:sz w:val="32"/>
          <w:szCs w:val="32"/>
          <w:u w:val="thick" w:color="FF0000"/>
        </w:rPr>
        <w:t>月</w:t>
      </w:r>
      <w:r>
        <w:rPr>
          <w:rFonts w:hint="eastAsia" w:ascii="仿宋" w:hAnsi="仿宋" w:eastAsia="仿宋" w:cs="仿宋"/>
          <w:b w:val="0"/>
          <w:color w:val="FF0000"/>
          <w:sz w:val="32"/>
          <w:szCs w:val="32"/>
          <w:u w:val="thick" w:color="FF0000"/>
          <w:lang w:val="en-US" w:eastAsia="zh-CN"/>
        </w:rPr>
        <w:t>7</w:t>
      </w:r>
      <w:r>
        <w:rPr>
          <w:rFonts w:hint="eastAsia" w:ascii="仿宋" w:hAnsi="仿宋" w:eastAsia="仿宋" w:cs="仿宋"/>
          <w:b w:val="0"/>
          <w:color w:val="FF0000"/>
          <w:sz w:val="32"/>
          <w:szCs w:val="32"/>
          <w:u w:val="thick" w:color="FF0000"/>
        </w:rPr>
        <w:t xml:space="preserve">日 </w:t>
      </w:r>
    </w:p>
    <w:p>
      <w:pPr>
        <w:pStyle w:val="12"/>
        <w:keepNext w:val="0"/>
        <w:keepLines w:val="0"/>
        <w:widowControl w:val="0"/>
        <w:numPr>
          <w:ilvl w:val="0"/>
          <w:numId w:val="0"/>
        </w:numPr>
        <w:suppressLineNumbers w:val="0"/>
        <w:spacing w:before="0" w:beforeAutospacing="0" w:after="0" w:afterAutospacing="0" w:line="560" w:lineRule="exact"/>
        <w:ind w:right="0" w:rightChars="0" w:firstLine="3534" w:firstLineChars="11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目    录</w:t>
      </w:r>
    </w:p>
    <w:p>
      <w:pPr>
        <w:numPr>
          <w:ilvl w:val="0"/>
          <w:numId w:val="1"/>
        </w:numPr>
        <w:ind w:left="0" w:leftChars="0" w:firstLine="0" w:firstLineChars="0"/>
        <w:jc w:val="both"/>
        <w:rPr>
          <w:rFonts w:hint="eastAsia" w:ascii="楷体" w:hAnsi="楷体" w:eastAsia="楷体" w:cs="楷体"/>
          <w:b w:val="0"/>
          <w:bCs w:val="0"/>
          <w:sz w:val="32"/>
          <w:szCs w:val="32"/>
          <w:lang w:val="en-US" w:eastAsia="zh-CN"/>
        </w:rPr>
      </w:pPr>
      <w:r>
        <w:rPr>
          <w:rFonts w:hint="eastAsia" w:ascii="楷体" w:hAnsi="楷体" w:eastAsia="楷体" w:cs="楷体"/>
          <w:b/>
          <w:bCs/>
          <w:sz w:val="32"/>
          <w:szCs w:val="32"/>
        </w:rPr>
        <w:t>巴彦淖尔银保监分局</w:t>
      </w:r>
      <w:r>
        <w:rPr>
          <w:rFonts w:hint="eastAsia" w:ascii="楷体" w:hAnsi="楷体" w:eastAsia="楷体" w:cs="楷体"/>
          <w:b/>
          <w:bCs/>
          <w:sz w:val="32"/>
          <w:szCs w:val="32"/>
          <w:lang w:val="en-US" w:eastAsia="zh-CN"/>
        </w:rPr>
        <w:t>助推</w:t>
      </w:r>
      <w:r>
        <w:rPr>
          <w:rFonts w:hint="eastAsia" w:ascii="楷体" w:hAnsi="楷体" w:eastAsia="楷体" w:cs="楷体"/>
          <w:b/>
          <w:bCs/>
          <w:kern w:val="0"/>
          <w:sz w:val="32"/>
          <w:szCs w:val="32"/>
          <w:lang w:val="zh-CN"/>
        </w:rPr>
        <w:t>财政支持深化民营和小微企业</w:t>
      </w:r>
      <w:r>
        <w:rPr>
          <w:rFonts w:hint="eastAsia" w:ascii="楷体" w:hAnsi="楷体" w:eastAsia="楷体" w:cs="楷体"/>
          <w:b/>
          <w:bCs/>
          <w:kern w:val="0"/>
          <w:sz w:val="32"/>
          <w:szCs w:val="32"/>
          <w:lang w:val="en-US" w:eastAsia="zh-CN"/>
        </w:rPr>
        <w:t xml:space="preserve">              </w:t>
      </w:r>
      <w:r>
        <w:rPr>
          <w:rFonts w:hint="eastAsia" w:ascii="楷体" w:hAnsi="楷体" w:eastAsia="楷体" w:cs="楷体"/>
          <w:b/>
          <w:bCs/>
          <w:kern w:val="0"/>
          <w:sz w:val="32"/>
          <w:szCs w:val="32"/>
          <w:lang w:val="zh-CN"/>
        </w:rPr>
        <w:t>金融服务综合改革试点城市</w:t>
      </w:r>
      <w:r>
        <w:rPr>
          <w:rFonts w:hint="eastAsia" w:ascii="楷体" w:hAnsi="楷体" w:eastAsia="楷体" w:cs="楷体"/>
          <w:b/>
          <w:bCs/>
          <w:kern w:val="0"/>
          <w:sz w:val="32"/>
          <w:szCs w:val="32"/>
          <w:lang w:val="en-US" w:eastAsia="zh-CN"/>
        </w:rPr>
        <w:t>取得实效</w:t>
      </w:r>
    </w:p>
    <w:p>
      <w:pPr>
        <w:numPr>
          <w:ilvl w:val="0"/>
          <w:numId w:val="1"/>
        </w:numPr>
        <w:ind w:left="0" w:leftChars="0" w:firstLine="0" w:firstLineChars="0"/>
        <w:jc w:val="both"/>
        <w:rPr>
          <w:rFonts w:hint="eastAsia" w:ascii="楷体" w:hAnsi="楷体" w:eastAsia="楷体" w:cs="楷体"/>
          <w:b w:val="0"/>
          <w:bCs w:val="0"/>
          <w:sz w:val="32"/>
          <w:szCs w:val="32"/>
          <w:lang w:val="en-US" w:eastAsia="zh-CN"/>
        </w:rPr>
      </w:pPr>
      <w:r>
        <w:rPr>
          <w:rFonts w:hint="eastAsia" w:ascii="楷体" w:hAnsi="楷体" w:eastAsia="楷体" w:cs="楷体"/>
          <w:b/>
          <w:bCs/>
          <w:sz w:val="32"/>
          <w:szCs w:val="32"/>
          <w:lang w:val="en-US" w:eastAsia="zh-CN"/>
        </w:rPr>
        <w:t>乌拉特后旗联社倾情打造“适老化”服务网点</w:t>
      </w:r>
    </w:p>
    <w:p>
      <w:pPr>
        <w:numPr>
          <w:ilvl w:val="0"/>
          <w:numId w:val="2"/>
        </w:numPr>
        <w:ind w:left="420" w:leftChars="0" w:hanging="420" w:firstLineChars="0"/>
        <w:jc w:val="both"/>
        <w:rPr>
          <w:rFonts w:hint="eastAsia" w:ascii="楷体" w:hAnsi="楷体" w:eastAsia="楷体" w:cs="楷体"/>
          <w:b/>
          <w:bCs/>
          <w:sz w:val="32"/>
          <w:szCs w:val="32"/>
          <w:highlight w:val="none"/>
          <w:lang w:eastAsia="zh-CN"/>
        </w:rPr>
      </w:pPr>
      <w:r>
        <w:rPr>
          <w:rFonts w:hint="eastAsia" w:ascii="楷体" w:hAnsi="楷体" w:eastAsia="楷体" w:cs="楷体"/>
          <w:b/>
          <w:bCs/>
          <w:sz w:val="32"/>
          <w:szCs w:val="32"/>
          <w:lang w:val="en-US" w:eastAsia="zh-CN"/>
        </w:rPr>
        <w:t>陕坝农商银行：扎根河套大地 深耕地方金融</w:t>
      </w:r>
    </w:p>
    <w:p>
      <w:pPr>
        <w:keepNext w:val="0"/>
        <w:keepLines w:val="0"/>
        <w:pageBreakBefore w:val="0"/>
        <w:widowControl w:val="0"/>
        <w:numPr>
          <w:ilvl w:val="0"/>
          <w:numId w:val="3"/>
        </w:numPr>
        <w:kinsoku/>
        <w:wordWrap/>
        <w:overflowPunct/>
        <w:topLinePunct w:val="0"/>
        <w:autoSpaceDE/>
        <w:autoSpaceDN/>
        <w:bidi w:val="0"/>
        <w:adjustRightInd/>
        <w:snapToGrid/>
        <w:spacing w:line="660" w:lineRule="exact"/>
        <w:ind w:left="420" w:leftChars="0" w:hanging="420" w:firstLineChars="0"/>
        <w:jc w:val="both"/>
        <w:textAlignment w:val="auto"/>
        <w:rPr>
          <w:rFonts w:hint="eastAsia" w:ascii="楷体" w:hAnsi="楷体" w:eastAsia="楷体" w:cs="楷体"/>
          <w:b/>
          <w:bCs w:val="0"/>
          <w:sz w:val="32"/>
          <w:szCs w:val="32"/>
        </w:rPr>
      </w:pPr>
      <w:r>
        <w:rPr>
          <w:rFonts w:hint="eastAsia" w:ascii="楷体" w:hAnsi="楷体" w:eastAsia="楷体" w:cs="楷体"/>
          <w:b/>
          <w:bCs w:val="0"/>
          <w:i w:val="0"/>
          <w:iCs w:val="0"/>
          <w:caps w:val="0"/>
          <w:color w:val="auto"/>
          <w:spacing w:val="-11"/>
          <w:sz w:val="32"/>
          <w:szCs w:val="32"/>
          <w:shd w:val="clear" w:fill="FFFFFF"/>
        </w:rPr>
        <w:t>乌拉特后旗联社立足本源，全力开展抗旱救灾工作</w:t>
      </w:r>
    </w:p>
    <w:p>
      <w:pPr>
        <w:keepNext w:val="0"/>
        <w:keepLines w:val="0"/>
        <w:pageBreakBefore w:val="0"/>
        <w:widowControl w:val="0"/>
        <w:numPr>
          <w:ilvl w:val="0"/>
          <w:numId w:val="3"/>
        </w:numPr>
        <w:kinsoku/>
        <w:wordWrap/>
        <w:overflowPunct/>
        <w:topLinePunct w:val="0"/>
        <w:autoSpaceDE/>
        <w:autoSpaceDN/>
        <w:bidi w:val="0"/>
        <w:adjustRightInd/>
        <w:snapToGrid/>
        <w:spacing w:line="660" w:lineRule="exact"/>
        <w:ind w:left="420" w:leftChars="0" w:hanging="420" w:firstLineChars="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河套农商银行支持“火红小辣椒”向“乡村振兴大产业”优化升级</w:t>
      </w:r>
    </w:p>
    <w:p>
      <w:pPr>
        <w:numPr>
          <w:ilvl w:val="0"/>
          <w:numId w:val="4"/>
        </w:numPr>
        <w:ind w:left="420" w:leftChars="0" w:hanging="420" w:firstLineChars="0"/>
        <w:jc w:val="both"/>
        <w:rPr>
          <w:rFonts w:hint="eastAsia" w:ascii="楷体" w:hAnsi="楷体" w:eastAsia="楷体" w:cs="楷体"/>
          <w:b/>
          <w:bCs/>
          <w:sz w:val="32"/>
          <w:szCs w:val="32"/>
        </w:rPr>
      </w:pPr>
      <w:r>
        <w:rPr>
          <w:rFonts w:hint="eastAsia" w:ascii="楷体" w:hAnsi="楷体" w:eastAsia="楷体" w:cs="楷体"/>
          <w:b/>
          <w:bCs/>
          <w:sz w:val="32"/>
          <w:szCs w:val="32"/>
          <w:lang w:val="en-US" w:eastAsia="zh-CN"/>
        </w:rPr>
        <w:t>乌拉特中旗联社教科书式应对同一冠字号码假币多次出现</w:t>
      </w:r>
    </w:p>
    <w:p>
      <w:pPr>
        <w:keepNext w:val="0"/>
        <w:keepLines w:val="0"/>
        <w:pageBreakBefore w:val="0"/>
        <w:widowControl w:val="0"/>
        <w:numPr>
          <w:ilvl w:val="0"/>
          <w:numId w:val="3"/>
        </w:numPr>
        <w:kinsoku/>
        <w:wordWrap/>
        <w:overflowPunct/>
        <w:topLinePunct w:val="0"/>
        <w:autoSpaceDE/>
        <w:autoSpaceDN/>
        <w:bidi w:val="0"/>
        <w:adjustRightInd/>
        <w:snapToGrid/>
        <w:spacing w:line="660" w:lineRule="exact"/>
        <w:ind w:left="420" w:leftChars="0" w:hanging="420" w:firstLineChars="0"/>
        <w:jc w:val="both"/>
        <w:textAlignment w:val="auto"/>
        <w:rPr>
          <w:rFonts w:hint="eastAsia" w:ascii="黑体" w:hAnsi="黑体" w:eastAsia="黑体" w:cs="黑体"/>
          <w:sz w:val="32"/>
          <w:szCs w:val="32"/>
          <w:lang w:val="en-US" w:eastAsia="zh-CN"/>
        </w:rPr>
      </w:pPr>
      <w:r>
        <w:rPr>
          <w:rFonts w:hint="eastAsia" w:ascii="楷体" w:hAnsi="楷体" w:eastAsia="楷体" w:cs="楷体"/>
          <w:b/>
          <w:bCs/>
          <w:sz w:val="32"/>
          <w:szCs w:val="32"/>
          <w:lang w:val="en-US" w:eastAsia="zh-CN"/>
        </w:rPr>
        <w:t>德岭山信用社联合党支部与邦联农牧专业合作社签订战略合作协议</w:t>
      </w:r>
    </w:p>
    <w:p>
      <w:pPr>
        <w:autoSpaceDE w:val="0"/>
        <w:autoSpaceDN w:val="0"/>
        <w:adjustRightInd w:val="0"/>
        <w:spacing w:line="560" w:lineRule="atLeast"/>
        <w:jc w:val="center"/>
        <w:rPr>
          <w:rFonts w:hint="eastAsia" w:ascii="黑体" w:hAnsi="黑体" w:eastAsia="黑体" w:cs="黑体"/>
          <w:b/>
          <w:bCs/>
          <w:sz w:val="32"/>
          <w:szCs w:val="32"/>
        </w:rPr>
      </w:pPr>
    </w:p>
    <w:p>
      <w:pPr>
        <w:autoSpaceDE w:val="0"/>
        <w:autoSpaceDN w:val="0"/>
        <w:adjustRightInd w:val="0"/>
        <w:spacing w:line="560" w:lineRule="atLeast"/>
        <w:jc w:val="center"/>
        <w:rPr>
          <w:rFonts w:hint="default" w:ascii="黑体" w:hAnsi="黑体" w:eastAsia="黑体" w:cs="黑体"/>
          <w:b/>
          <w:bCs/>
          <w:kern w:val="0"/>
          <w:sz w:val="32"/>
          <w:szCs w:val="32"/>
          <w:lang w:val="en-US" w:eastAsia="zh-CN"/>
        </w:rPr>
      </w:pPr>
      <w:bookmarkStart w:id="1" w:name="_GoBack"/>
      <w:bookmarkEnd w:id="1"/>
      <w:r>
        <w:rPr>
          <w:rFonts w:hint="eastAsia" w:ascii="黑体" w:hAnsi="黑体" w:eastAsia="黑体" w:cs="黑体"/>
          <w:b/>
          <w:bCs/>
          <w:sz w:val="32"/>
          <w:szCs w:val="32"/>
        </w:rPr>
        <w:t>巴彦淖尔银保监分局</w:t>
      </w:r>
      <w:r>
        <w:rPr>
          <w:rFonts w:hint="eastAsia" w:ascii="黑体" w:hAnsi="黑体" w:eastAsia="黑体" w:cs="黑体"/>
          <w:b/>
          <w:bCs/>
          <w:sz w:val="32"/>
          <w:szCs w:val="32"/>
          <w:lang w:val="en-US" w:eastAsia="zh-CN"/>
        </w:rPr>
        <w:t>助推</w:t>
      </w:r>
      <w:r>
        <w:rPr>
          <w:rFonts w:hint="eastAsia" w:ascii="黑体" w:hAnsi="黑体" w:eastAsia="黑体" w:cs="黑体"/>
          <w:b/>
          <w:bCs/>
          <w:kern w:val="0"/>
          <w:sz w:val="32"/>
          <w:szCs w:val="32"/>
          <w:lang w:val="zh-CN"/>
        </w:rPr>
        <w:t>财政支持深化民营和小微企业金融服务综合改革试点城市</w:t>
      </w:r>
      <w:r>
        <w:rPr>
          <w:rFonts w:hint="eastAsia" w:ascii="黑体" w:hAnsi="黑体" w:eastAsia="黑体" w:cs="黑体"/>
          <w:b/>
          <w:bCs/>
          <w:kern w:val="0"/>
          <w:sz w:val="32"/>
          <w:szCs w:val="32"/>
          <w:lang w:val="en-US" w:eastAsia="zh-CN"/>
        </w:rPr>
        <w:t>取得实效</w:t>
      </w:r>
    </w:p>
    <w:p>
      <w:pPr>
        <w:spacing w:line="360" w:lineRule="auto"/>
        <w:rPr>
          <w:rFonts w:hint="eastAsia" w:ascii="黑体" w:hAnsi="黑体" w:eastAsia="黑体"/>
          <w:b/>
          <w:bCs/>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近年来，巴彦淖尔银保监分局认真落实金融支持民营小微企业发展政策，多措并举，积极推动辖内银行业机构加大民营和小微企业支持力度。2021年被财政部确定为“财政支持民营和小微企业金融服务综合改革试点城市”。</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sz w:val="32"/>
          <w:szCs w:val="32"/>
          <w:lang w:val="en-US" w:eastAsia="zh-CN"/>
        </w:rPr>
      </w:pPr>
      <w:r>
        <w:rPr>
          <w:rFonts w:hint="eastAsia"/>
          <w:lang w:val="en-US" w:eastAsia="zh-CN"/>
        </w:rPr>
        <w:t>一是加强</w:t>
      </w:r>
      <w:r>
        <w:rPr>
          <w:rFonts w:hint="eastAsia" w:ascii="仿宋" w:hAnsi="仿宋" w:eastAsia="仿宋" w:cs="仿宋"/>
          <w:b w:val="0"/>
          <w:bCs w:val="0"/>
          <w:sz w:val="32"/>
          <w:szCs w:val="32"/>
        </w:rPr>
        <w:t>目标</w:t>
      </w:r>
      <w:r>
        <w:rPr>
          <w:rFonts w:hint="eastAsia" w:ascii="仿宋" w:hAnsi="仿宋" w:eastAsia="仿宋" w:cs="仿宋"/>
          <w:b w:val="0"/>
          <w:bCs w:val="0"/>
          <w:sz w:val="32"/>
          <w:szCs w:val="32"/>
          <w:lang w:val="en-US" w:eastAsia="zh-CN"/>
        </w:rPr>
        <w:t>完成情况、融资成本下降、“百行进万企”、延期还本付息等政策执行情况的监督，保证国家支持民营和小微企业发展政策及时落地生根。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二是加大差异化监管政策落实、民营和小微企业金融服务机构设立、民营和小微企业信贷投放量的推动力度，保证民营和小微企业金融服务获得逐年增加。</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三是通过媒体宣传引导、监管走访督导、完善考核制度等方式，保证银行业机构金融服务民营小微企业按照国家政策正向发展。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四是引导机构创新服务产品、优化信贷流程、简化贷款手续、提高贷款发放率等，保证民营和小微企业金融服务有量和质明显提升。</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五是积极支持银行业机构享受小微企业贷款利息收入免征增值税政策，提高机构拓展小微企业贷款业务的积极性。</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sz w:val="32"/>
          <w:szCs w:val="32"/>
          <w:lang w:val="en-US" w:eastAsia="zh-CN"/>
        </w:rPr>
        <w:t>截至2020年末，</w:t>
      </w:r>
      <w:r>
        <w:rPr>
          <w:rFonts w:hint="eastAsia" w:ascii="仿宋" w:hAnsi="仿宋" w:eastAsia="仿宋" w:cs="仿宋"/>
          <w:sz w:val="32"/>
          <w:szCs w:val="32"/>
        </w:rPr>
        <w:t>巴彦淖尔市银行业机构（包括法人、分支机构）普惠型小微企业贷款余额</w:t>
      </w:r>
      <w:r>
        <w:rPr>
          <w:rFonts w:hint="eastAsia" w:ascii="仿宋" w:hAnsi="仿宋" w:eastAsia="仿宋" w:cs="仿宋"/>
          <w:sz w:val="32"/>
          <w:szCs w:val="32"/>
          <w:vertAlign w:val="baseline"/>
          <w:lang w:val="en-US" w:eastAsia="zh-CN"/>
        </w:rPr>
        <w:t>1663036.56万元；</w:t>
      </w:r>
      <w:r>
        <w:rPr>
          <w:rFonts w:hint="eastAsia" w:ascii="仿宋" w:hAnsi="仿宋" w:eastAsia="仿宋" w:cs="仿宋"/>
          <w:b w:val="0"/>
          <w:bCs w:val="0"/>
          <w:sz w:val="32"/>
          <w:szCs w:val="32"/>
        </w:rPr>
        <w:t>贷款平均利率</w:t>
      </w:r>
      <w:r>
        <w:rPr>
          <w:rFonts w:hint="eastAsia" w:ascii="仿宋" w:hAnsi="仿宋" w:eastAsia="仿宋" w:cs="仿宋"/>
          <w:b w:val="0"/>
          <w:bCs w:val="0"/>
          <w:sz w:val="32"/>
          <w:szCs w:val="32"/>
          <w:shd w:val="clear" w:color="auto" w:fill="auto"/>
          <w:lang w:val="en-US" w:eastAsia="zh-CN"/>
        </w:rPr>
        <w:t>8.12</w:t>
      </w:r>
      <w:r>
        <w:rPr>
          <w:rFonts w:hint="eastAsia" w:ascii="仿宋" w:hAnsi="仿宋" w:eastAsia="仿宋" w:cs="仿宋"/>
          <w:b w:val="0"/>
          <w:bCs w:val="0"/>
          <w:sz w:val="32"/>
          <w:szCs w:val="32"/>
          <w:shd w:val="clear" w:color="auto" w:fill="auto"/>
        </w:rPr>
        <w:t>%，</w:t>
      </w:r>
      <w:r>
        <w:rPr>
          <w:rFonts w:hint="eastAsia" w:ascii="仿宋" w:hAnsi="仿宋" w:eastAsia="仿宋" w:cs="仿宋"/>
          <w:b w:val="0"/>
          <w:bCs w:val="0"/>
          <w:sz w:val="32"/>
          <w:szCs w:val="32"/>
          <w:shd w:val="clear" w:color="auto" w:fill="auto"/>
          <w:lang w:val="en-US" w:eastAsia="zh-CN"/>
        </w:rPr>
        <w:t>较上年</w:t>
      </w:r>
      <w:r>
        <w:rPr>
          <w:rFonts w:hint="eastAsia" w:ascii="仿宋" w:hAnsi="仿宋" w:eastAsia="仿宋" w:cs="仿宋"/>
          <w:b w:val="0"/>
          <w:bCs w:val="0"/>
          <w:sz w:val="32"/>
          <w:szCs w:val="32"/>
          <w:shd w:val="clear" w:color="auto" w:fill="auto"/>
          <w:lang w:eastAsia="zh-CN"/>
        </w:rPr>
        <w:t>下降</w:t>
      </w:r>
      <w:r>
        <w:rPr>
          <w:rFonts w:hint="eastAsia" w:ascii="仿宋" w:hAnsi="仿宋" w:eastAsia="仿宋" w:cs="仿宋"/>
          <w:b w:val="0"/>
          <w:bCs w:val="0"/>
          <w:sz w:val="32"/>
          <w:szCs w:val="32"/>
          <w:shd w:val="clear" w:color="auto" w:fill="auto"/>
          <w:lang w:val="en-US" w:eastAsia="zh-CN"/>
        </w:rPr>
        <w:t>0.92个百分点，</w:t>
      </w:r>
      <w:r>
        <w:rPr>
          <w:rFonts w:hint="eastAsia" w:ascii="仿宋" w:hAnsi="仿宋" w:eastAsia="仿宋" w:cs="仿宋"/>
          <w:sz w:val="32"/>
          <w:szCs w:val="32"/>
          <w:shd w:val="clear" w:color="auto" w:fill="auto"/>
        </w:rPr>
        <w:t>为小微企业节约相关费用198.19万元</w:t>
      </w:r>
      <w:r>
        <w:rPr>
          <w:rFonts w:hint="eastAsia" w:ascii="仿宋" w:hAnsi="仿宋" w:eastAsia="仿宋" w:cs="仿宋"/>
          <w:sz w:val="32"/>
          <w:szCs w:val="32"/>
          <w:shd w:val="clear" w:color="auto" w:fill="auto"/>
          <w:lang w:eastAsia="zh-CN"/>
        </w:rPr>
        <w:t>；</w:t>
      </w:r>
      <w:r>
        <w:rPr>
          <w:rFonts w:hint="eastAsia" w:ascii="仿宋" w:hAnsi="仿宋" w:eastAsia="仿宋" w:cs="仿宋"/>
          <w:b w:val="0"/>
          <w:bCs/>
          <w:color w:val="auto"/>
          <w:sz w:val="32"/>
          <w:szCs w:val="32"/>
        </w:rPr>
        <w:t>共对11209户企业实施临时性延期还本337851.52万元，其中展期144006.17万元、续贷77573.62万元、以其他方式调整还款期限116271.73万元；共对1728户企业170085.71万元贷款的7013.79万元利息实施临时性延期支付</w:t>
      </w:r>
      <w:r>
        <w:rPr>
          <w:rFonts w:hint="eastAsia" w:ascii="仿宋" w:hAnsi="仿宋" w:eastAsia="仿宋" w:cs="仿宋"/>
          <w:b w:val="0"/>
          <w:bCs/>
          <w:color w:val="auto"/>
          <w:sz w:val="32"/>
          <w:szCs w:val="32"/>
          <w:lang w:eastAsia="zh-CN"/>
        </w:rPr>
        <w:t>；</w:t>
      </w:r>
      <w:r>
        <w:rPr>
          <w:rFonts w:hint="eastAsia" w:ascii="仿宋" w:hAnsi="仿宋" w:eastAsia="仿宋" w:cs="仿宋"/>
          <w:b w:val="0"/>
          <w:bCs/>
          <w:color w:val="auto"/>
          <w:sz w:val="32"/>
          <w:szCs w:val="32"/>
          <w:lang w:val="en-US" w:eastAsia="zh-CN"/>
        </w:rPr>
        <w:t>支持</w:t>
      </w:r>
      <w:r>
        <w:rPr>
          <w:rFonts w:hint="eastAsia" w:ascii="仿宋" w:hAnsi="仿宋" w:eastAsia="仿宋" w:cs="仿宋"/>
          <w:color w:val="auto"/>
          <w:sz w:val="32"/>
          <w:szCs w:val="32"/>
        </w:rPr>
        <w:t>辖区14</w:t>
      </w:r>
      <w:r>
        <w:rPr>
          <w:rFonts w:hint="eastAsia" w:ascii="仿宋" w:hAnsi="仿宋" w:eastAsia="仿宋" w:cs="仿宋"/>
          <w:color w:val="auto"/>
          <w:sz w:val="32"/>
          <w:szCs w:val="32"/>
          <w:lang w:val="en-US" w:eastAsia="zh-CN"/>
        </w:rPr>
        <w:t>家</w:t>
      </w:r>
      <w:r>
        <w:rPr>
          <w:rFonts w:hint="eastAsia" w:ascii="仿宋" w:hAnsi="仿宋" w:eastAsia="仿宋" w:cs="仿宋"/>
          <w:color w:val="auto"/>
          <w:sz w:val="32"/>
          <w:szCs w:val="32"/>
        </w:rPr>
        <w:t>银行业法人机构中</w:t>
      </w:r>
      <w:r>
        <w:rPr>
          <w:rFonts w:hint="eastAsia" w:ascii="仿宋" w:hAnsi="仿宋" w:eastAsia="仿宋" w:cs="仿宋"/>
          <w:color w:val="auto"/>
          <w:sz w:val="32"/>
          <w:szCs w:val="32"/>
          <w:lang w:val="en-US" w:eastAsia="zh-CN"/>
        </w:rPr>
        <w:t>的1</w:t>
      </w:r>
      <w:r>
        <w:rPr>
          <w:rFonts w:hint="eastAsia" w:ascii="仿宋" w:hAnsi="仿宋" w:eastAsia="仿宋" w:cs="仿宋"/>
          <w:color w:val="auto"/>
          <w:sz w:val="32"/>
          <w:szCs w:val="32"/>
        </w:rPr>
        <w:t>1家</w:t>
      </w:r>
      <w:r>
        <w:rPr>
          <w:rFonts w:hint="eastAsia" w:ascii="仿宋" w:hAnsi="仿宋" w:eastAsia="仿宋" w:cs="仿宋"/>
          <w:color w:val="auto"/>
          <w:sz w:val="32"/>
          <w:szCs w:val="32"/>
          <w:lang w:val="en-US" w:eastAsia="zh-CN"/>
        </w:rPr>
        <w:t>免收</w:t>
      </w:r>
      <w:r>
        <w:rPr>
          <w:rFonts w:hint="eastAsia" w:ascii="仿宋" w:hAnsi="仿宋" w:eastAsia="仿宋" w:cs="仿宋"/>
          <w:color w:val="auto"/>
          <w:sz w:val="32"/>
          <w:szCs w:val="32"/>
        </w:rPr>
        <w:t>贷款利息收入</w:t>
      </w:r>
      <w:r>
        <w:rPr>
          <w:rFonts w:hint="eastAsia" w:ascii="仿宋" w:hAnsi="仿宋" w:eastAsia="仿宋" w:cs="仿宋"/>
          <w:color w:val="auto"/>
          <w:sz w:val="32"/>
          <w:szCs w:val="32"/>
          <w:lang w:val="en-US" w:eastAsia="zh-CN"/>
        </w:rPr>
        <w:t>增值税</w:t>
      </w:r>
      <w:r>
        <w:rPr>
          <w:rFonts w:hint="eastAsia" w:ascii="仿宋" w:hAnsi="仿宋" w:eastAsia="仿宋" w:cs="仿宋"/>
          <w:color w:val="auto"/>
          <w:sz w:val="32"/>
          <w:szCs w:val="32"/>
        </w:rPr>
        <w:t>3017.02万元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入选成为2021年度全国财政支持深化民营和小微企业金融服务改革城市试点之一。（根据巴彦淖尔银保监分局提供资料整理）</w:t>
      </w:r>
    </w:p>
    <w:p>
      <w:pPr>
        <w:pStyle w:val="2"/>
        <w:rPr>
          <w:rFonts w:hint="eastAsia"/>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我为群众办实事，敬老助老暖人心</w:t>
      </w:r>
    </w:p>
    <w:p>
      <w:pPr>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r>
        <w:rPr>
          <w:rFonts w:hint="eastAsia" w:ascii="仿宋" w:hAnsi="仿宋" w:eastAsia="仿宋" w:cs="仿宋"/>
          <w:sz w:val="32"/>
          <w:szCs w:val="32"/>
          <w:lang w:val="en-US" w:eastAsia="zh-CN"/>
        </w:rPr>
        <w:t>乌拉特后旗联社倾情打造“适老化”服务网点</w: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进一步推进金融服务“适老化”，积极开展“我为群众办实事”实践活动，乌拉特后旗联社党委以客户需求为出发点、以客户体验为落脚点、以服务细节为着力点、以服务质量为立足点，主动融入、积极探索、多措并举做实做细各项工作，并将乌拉特后旗联社呼和温都尔信用社倾情打造成为“适老化”服务网点，用高度的责任担当回应了社会关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是强化网点助老服务。在全辖网点针对老年人设置爱心服务窗口与醒目的智能机具操作说明，并进行现场指导，让老年人享受智慧便捷的服务；设置无障碍通道、爱心座椅，并配备老花镜、轮椅、拐杖等助老设施，提供贴心周到的便利服务。二是助力完善公共服务。加强与社保、医院等机构沟通，无偿帮助老年客户进行社会保险待遇认证、高龄补贴年检认证以及线上缴纳电费、话费，有针对性完善老年人社保、医疗等领域的金融措施，满足老年人需求。三是打通“适老化”服务“最后一公里”。</w:t>
      </w:r>
      <w:r>
        <w:rPr>
          <w:rFonts w:hint="default" w:ascii="仿宋_GB2312" w:hAnsi="仿宋_GB2312" w:eastAsia="仿宋_GB2312" w:cs="仿宋_GB2312"/>
          <w:kern w:val="2"/>
          <w:sz w:val="32"/>
          <w:szCs w:val="32"/>
          <w:lang w:val="en-US" w:eastAsia="zh-CN" w:bidi="ar-SA"/>
        </w:rPr>
        <w:t>对因特殊原因无法亲自到网点办理而按规定又需本人亲自办理业务的老年客户，</w:t>
      </w:r>
      <w:r>
        <w:rPr>
          <w:rFonts w:hint="eastAsia" w:ascii="仿宋_GB2312" w:hAnsi="仿宋_GB2312" w:eastAsia="仿宋_GB2312" w:cs="仿宋_GB2312"/>
          <w:kern w:val="2"/>
          <w:sz w:val="32"/>
          <w:szCs w:val="32"/>
          <w:lang w:val="en-US" w:eastAsia="zh-CN" w:bidi="ar-SA"/>
        </w:rPr>
        <w:t>乌拉特后旗联社</w:t>
      </w:r>
      <w:r>
        <w:rPr>
          <w:rFonts w:hint="default" w:ascii="仿宋_GB2312" w:hAnsi="仿宋_GB2312" w:eastAsia="仿宋_GB2312" w:cs="仿宋_GB2312"/>
          <w:kern w:val="2"/>
          <w:sz w:val="32"/>
          <w:szCs w:val="32"/>
          <w:lang w:val="en-US" w:eastAsia="zh-CN" w:bidi="ar-SA"/>
        </w:rPr>
        <w:t>进一步统筹服务资源，在核实并有效控制风险的前提下，实行挎包上门服务模式，派出</w:t>
      </w:r>
      <w:r>
        <w:rPr>
          <w:rFonts w:hint="eastAsia" w:ascii="仿宋_GB2312" w:hAnsi="仿宋_GB2312" w:eastAsia="仿宋_GB2312" w:cs="仿宋_GB2312"/>
          <w:kern w:val="2"/>
          <w:sz w:val="32"/>
          <w:szCs w:val="32"/>
          <w:lang w:val="en-US" w:eastAsia="zh-CN" w:bidi="ar-SA"/>
        </w:rPr>
        <w:t>员工</w:t>
      </w:r>
      <w:r>
        <w:rPr>
          <w:rFonts w:hint="default" w:ascii="仿宋_GB2312" w:hAnsi="仿宋_GB2312" w:eastAsia="仿宋_GB2312" w:cs="仿宋_GB2312"/>
          <w:kern w:val="2"/>
          <w:sz w:val="32"/>
          <w:szCs w:val="32"/>
          <w:lang w:val="en-US" w:eastAsia="zh-CN" w:bidi="ar-SA"/>
        </w:rPr>
        <w:t>上门为行动不便的老年群众提供人性化服务。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210" w:right="21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下一步，乌拉特后旗联社将着力提升金融服务“适老化”程度，致力于一点一滴、一言一行，为老年人提供更周全、更贴心、更便利的金融服务，让老年客户在信息化发展中获得幸福感、安全感及满足感。 </w:t>
      </w:r>
    </w:p>
    <w:p>
      <w:pPr>
        <w:pStyle w:val="13"/>
        <w:rPr>
          <w:rFonts w:hint="eastAsia"/>
          <w:lang w:val="en-US" w:eastAsia="zh-CN"/>
        </w:rPr>
      </w:pPr>
      <w:r>
        <w:rPr>
          <w:rFonts w:hint="eastAsia"/>
          <w:lang w:val="en-US" w:eastAsia="zh-CN"/>
        </w:rPr>
        <w:drawing>
          <wp:inline distT="0" distB="0" distL="114300" distR="114300">
            <wp:extent cx="5266690" cy="7022465"/>
            <wp:effectExtent l="0" t="0" r="10160" b="6985"/>
            <wp:docPr id="1" name="图片 1" descr="3c095fbd54b79ab7c4829f55975b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095fbd54b79ab7c4829f55975bd9e"/>
                    <pic:cNvPicPr>
                      <a:picLocks noChangeAspect="1"/>
                    </pic:cNvPicPr>
                  </pic:nvPicPr>
                  <pic:blipFill>
                    <a:blip r:embed="rId5"/>
                    <a:stretch>
                      <a:fillRect/>
                    </a:stretch>
                  </pic:blipFill>
                  <pic:spPr>
                    <a:xfrm>
                      <a:off x="0" y="0"/>
                      <a:ext cx="5266690" cy="702246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 w:lineRule="atLeast"/>
        <w:ind w:left="210" w:right="210" w:firstLine="4480" w:firstLineChars="1400"/>
        <w:jc w:val="left"/>
        <w:rPr>
          <w:rFonts w:hint="eastAsia" w:ascii="华文中宋" w:hAnsi="华文中宋" w:eastAsia="华文中宋" w:cs="华文中宋"/>
          <w:b w:val="0"/>
          <w:bCs/>
          <w:color w:val="auto"/>
          <w:spacing w:val="-11"/>
          <w:sz w:val="42"/>
          <w:szCs w:val="42"/>
          <w:lang w:val="en-US" w:eastAsia="zh-CN"/>
        </w:rPr>
      </w:pPr>
      <w:r>
        <w:rPr>
          <w:rFonts w:hint="eastAsia" w:ascii="仿宋" w:hAnsi="仿宋" w:eastAsia="仿宋" w:cs="仿宋"/>
          <w:i w:val="0"/>
          <w:caps w:val="0"/>
          <w:color w:val="000000"/>
          <w:spacing w:val="0"/>
          <w:sz w:val="32"/>
          <w:szCs w:val="32"/>
          <w:shd w:val="clear" w:color="auto" w:fill="FFFFFF"/>
          <w:lang w:val="en-US" w:eastAsia="zh-CN"/>
        </w:rPr>
        <w:t xml:space="preserve">（供稿人 </w:t>
      </w:r>
      <w:r>
        <w:rPr>
          <w:rFonts w:hint="eastAsia" w:ascii="仿宋" w:hAnsi="仿宋" w:eastAsia="仿宋" w:cs="仿宋"/>
          <w:i w:val="0"/>
          <w:caps w:val="0"/>
          <w:color w:val="333333"/>
          <w:spacing w:val="0"/>
          <w:kern w:val="0"/>
          <w:sz w:val="32"/>
          <w:szCs w:val="32"/>
          <w:shd w:val="clear" w:fill="FFFFFF"/>
          <w:lang w:val="en-US" w:eastAsia="zh-CN" w:bidi="ar"/>
        </w:rPr>
        <w:t>高一博</w:t>
      </w:r>
      <w:bookmarkStart w:id="0" w:name="att_num2"/>
      <w:bookmarkEnd w:id="0"/>
      <w:r>
        <w:rPr>
          <w:rFonts w:hint="eastAsia" w:ascii="仿宋" w:hAnsi="仿宋" w:eastAsia="仿宋" w:cs="仿宋"/>
          <w:i w:val="0"/>
          <w:caps w:val="0"/>
          <w:color w:val="000000"/>
          <w:spacing w:val="0"/>
          <w:sz w:val="32"/>
          <w:szCs w:val="32"/>
          <w:shd w:val="clear" w:color="auto" w:fill="FFFFFF"/>
          <w:lang w:val="en-US" w:eastAsia="zh-CN"/>
        </w:rPr>
        <w:t>）</w:t>
      </w:r>
      <w:r>
        <w:rPr>
          <w:rFonts w:hint="eastAsia" w:ascii="仿宋_GB2312" w:hAnsi="仿宋_GB2312" w:eastAsia="仿宋_GB2312" w:cs="仿宋_GB2312"/>
          <w:kern w:val="2"/>
          <w:sz w:val="32"/>
          <w:szCs w:val="32"/>
          <w:lang w:val="en-US" w:eastAsia="zh-CN" w:bidi="ar-SA"/>
        </w:rPr>
        <w:t xml:space="preserve">                                         </w:t>
      </w:r>
    </w:p>
    <w:p>
      <w:pPr>
        <w:jc w:val="cente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陕坝农商银行：扎根河套大地 深耕地方金融</w:t>
      </w:r>
    </w:p>
    <w:p>
      <w:pPr>
        <w:pStyle w:val="1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both"/>
        <w:textAlignment w:val="auto"/>
        <w:outlineLvl w:val="9"/>
        <w:rPr>
          <w:rFonts w:hint="eastAsia" w:ascii="仿宋" w:hAnsi="仿宋" w:eastAsia="仿宋" w:cs="仿宋"/>
          <w:lang w:val="en-US" w:eastAsia="zh-CN"/>
        </w:rPr>
      </w:pPr>
      <w:r>
        <w:rPr>
          <w:rFonts w:hint="eastAsia" w:ascii="仿宋" w:hAnsi="仿宋" w:eastAsia="仿宋" w:cs="仿宋"/>
          <w:sz w:val="32"/>
          <w:szCs w:val="32"/>
          <w:lang w:val="en-US" w:eastAsia="zh-CN"/>
        </w:rPr>
        <w:t>陕坝农商银行作为</w:t>
      </w:r>
      <w:r>
        <w:rPr>
          <w:rFonts w:hint="eastAsia" w:ascii="仿宋" w:hAnsi="仿宋" w:eastAsia="仿宋" w:cs="仿宋"/>
          <w:sz w:val="32"/>
          <w:szCs w:val="32"/>
        </w:rPr>
        <w:t>地方性金融机构</w:t>
      </w:r>
      <w:r>
        <w:rPr>
          <w:rFonts w:hint="eastAsia" w:ascii="仿宋" w:hAnsi="仿宋" w:eastAsia="仿宋" w:cs="仿宋"/>
          <w:sz w:val="32"/>
          <w:szCs w:val="32"/>
          <w:lang w:val="en-US" w:eastAsia="zh-CN"/>
        </w:rPr>
        <w:t>，始终扎根河套大地，深耕地方金融，一路成长蜕变，蹄急步稳，服务“三农三牧”的综合实力不断壮大，</w:t>
      </w:r>
      <w:r>
        <w:rPr>
          <w:rFonts w:hint="eastAsia" w:ascii="仿宋" w:hAnsi="仿宋" w:eastAsia="仿宋" w:cs="仿宋"/>
          <w:sz w:val="32"/>
          <w:szCs w:val="32"/>
        </w:rPr>
        <w:t>用占全旗金融机构</w:t>
      </w:r>
      <w:r>
        <w:rPr>
          <w:rFonts w:hint="eastAsia" w:ascii="仿宋" w:hAnsi="仿宋" w:eastAsia="仿宋" w:cs="仿宋"/>
          <w:sz w:val="32"/>
          <w:szCs w:val="32"/>
          <w:lang w:val="en-US" w:eastAsia="zh-CN"/>
        </w:rPr>
        <w:t>46</w:t>
      </w:r>
      <w:r>
        <w:rPr>
          <w:rFonts w:hint="eastAsia" w:ascii="仿宋" w:hAnsi="仿宋" w:eastAsia="仿宋" w:cs="仿宋"/>
          <w:sz w:val="32"/>
          <w:szCs w:val="32"/>
        </w:rPr>
        <w:t>%的资金</w:t>
      </w:r>
      <w:r>
        <w:rPr>
          <w:rFonts w:hint="eastAsia" w:ascii="仿宋" w:hAnsi="仿宋" w:eastAsia="仿宋" w:cs="仿宋"/>
          <w:sz w:val="32"/>
          <w:szCs w:val="32"/>
          <w:lang w:eastAsia="zh-CN"/>
        </w:rPr>
        <w:t>，</w:t>
      </w:r>
      <w:r>
        <w:rPr>
          <w:rFonts w:hint="eastAsia" w:ascii="仿宋" w:hAnsi="仿宋" w:eastAsia="仿宋" w:cs="仿宋"/>
          <w:sz w:val="32"/>
          <w:szCs w:val="32"/>
        </w:rPr>
        <w:t>提供了占全旗金融市场</w:t>
      </w:r>
      <w:r>
        <w:rPr>
          <w:rFonts w:hint="eastAsia" w:ascii="仿宋" w:hAnsi="仿宋" w:eastAsia="仿宋" w:cs="仿宋"/>
          <w:sz w:val="32"/>
          <w:szCs w:val="32"/>
          <w:lang w:val="en-US" w:eastAsia="zh-CN"/>
        </w:rPr>
        <w:t>54.5</w:t>
      </w:r>
      <w:r>
        <w:rPr>
          <w:rFonts w:hint="eastAsia" w:ascii="仿宋" w:hAnsi="仿宋" w:eastAsia="仿宋" w:cs="仿宋"/>
          <w:sz w:val="32"/>
          <w:szCs w:val="32"/>
        </w:rPr>
        <w:t>%的</w:t>
      </w:r>
      <w:r>
        <w:rPr>
          <w:rFonts w:hint="eastAsia" w:ascii="仿宋" w:hAnsi="仿宋" w:eastAsia="仿宋" w:cs="仿宋"/>
          <w:sz w:val="32"/>
          <w:szCs w:val="32"/>
          <w:lang w:val="en-US" w:eastAsia="zh-CN"/>
        </w:rPr>
        <w:t>涉农</w:t>
      </w:r>
      <w:r>
        <w:rPr>
          <w:rFonts w:hint="eastAsia" w:ascii="仿宋" w:hAnsi="仿宋" w:eastAsia="仿宋" w:cs="仿宋"/>
          <w:sz w:val="32"/>
          <w:szCs w:val="32"/>
        </w:rPr>
        <w:t>贷款</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18%的精准扶贫贷款和全部的</w:t>
      </w:r>
      <w:r>
        <w:rPr>
          <w:rFonts w:hint="eastAsia" w:ascii="仿宋" w:hAnsi="仿宋" w:eastAsia="仿宋" w:cs="仿宋"/>
          <w:sz w:val="32"/>
          <w:szCs w:val="32"/>
        </w:rPr>
        <w:t>下岗再就业贷款。</w:t>
      </w:r>
    </w:p>
    <w:p>
      <w:pPr>
        <w:pStyle w:val="12"/>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b w:val="0"/>
          <w:bCs w:val="0"/>
          <w:color w:val="auto"/>
          <w:sz w:val="32"/>
          <w:szCs w:val="32"/>
          <w:u w:val="none" w:color="auto"/>
          <w:lang w:val="en-US" w:eastAsia="zh-CN"/>
        </w:rPr>
        <w:t>一是坚守初心，全力支持乡村振兴战略。</w:t>
      </w:r>
      <w:r>
        <w:rPr>
          <w:rFonts w:hint="eastAsia" w:ascii="楷体" w:hAnsi="楷体" w:eastAsia="楷体" w:cs="楷体"/>
          <w:sz w:val="32"/>
          <w:szCs w:val="32"/>
          <w:lang w:val="en-US" w:eastAsia="zh-CN"/>
        </w:rPr>
        <w:t>在信贷资源上，</w:t>
      </w:r>
      <w:r>
        <w:rPr>
          <w:rFonts w:hint="eastAsia" w:ascii="仿宋" w:hAnsi="仿宋" w:eastAsia="仿宋" w:cs="仿宋"/>
          <w:sz w:val="32"/>
          <w:szCs w:val="32"/>
          <w:lang w:val="en-US" w:eastAsia="zh-CN"/>
        </w:rPr>
        <w:t>陕坝农商银行近三年累计发放各类贷款118.76亿元，其中累计发放涉农贷款97.59亿元，投放量占到全旗金融机构农业贷款投放量的95%以上，让5万多农户受益。</w:t>
      </w:r>
      <w:r>
        <w:rPr>
          <w:rFonts w:hint="eastAsia" w:ascii="楷体" w:hAnsi="楷体" w:eastAsia="楷体" w:cs="楷体"/>
          <w:sz w:val="32"/>
          <w:szCs w:val="32"/>
          <w:lang w:val="en-US" w:eastAsia="zh-CN"/>
        </w:rPr>
        <w:t>在产品资源上，</w:t>
      </w:r>
      <w:r>
        <w:rPr>
          <w:rFonts w:hint="eastAsia" w:ascii="仿宋" w:hAnsi="仿宋" w:eastAsia="仿宋" w:cs="仿宋"/>
          <w:sz w:val="32"/>
          <w:szCs w:val="32"/>
          <w:lang w:val="en-US" w:eastAsia="zh-CN"/>
        </w:rPr>
        <w:t>针对从农户到农村各类市场主体的不同类型客户需求，创新推出乡村振兴、普惠金融两大类8款信贷产品，形成了从农户到覆盖农村各类市场主体的完整产品线，有效满足了农村客户日益多样化金融服务需求。其中，“兴农快贷”产品推出5个月，累计发放10488.85万元；“兴畜贷”发放1.83亿元；“土地流转经营权抵押贷”，发放3笔675万元的土地经营权抵押贷款。同时接入了旗土地确权流转抵押登记系统，实现了31个网点全覆盖，农牧民就近就可以办理土地确权流转抵押登记，真正让“数据多跑路，农户少跑腿”。</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在渠道资源上，</w:t>
      </w:r>
      <w:r>
        <w:rPr>
          <w:rFonts w:hint="eastAsia" w:ascii="仿宋" w:hAnsi="仿宋" w:eastAsia="仿宋" w:cs="仿宋"/>
          <w:sz w:val="32"/>
          <w:szCs w:val="32"/>
          <w:lang w:val="en-US" w:eastAsia="zh-CN"/>
        </w:rPr>
        <w:t>为打通金融服务“最后100米”，已成功搭建起了物理网点、电子渠道、农村“便民金融自助服务点”、流动银行服务车、线上电子平台等全方位、多模式的金融服务网络，形成了“乡有网点、村有服务车、家有手机银行”的金融服务体系。截至7月末，该行流动服务车已累计开展金融服务438次，其中定点服务234次，上门服务204次，共办理业务8567笔，累计交易金额4028.12万元。二是强化担当，助力小微民营稳健发展。面对疫情影响和经济下行的现状，先后推出了“抗疫商贷”、“活体质押贷款”“动产抵押贷款”、“存货仓单质押贷款”、“应收账款融资贷款”等贷款产品，有效满足了小微企业融资需求。截至7月末，累计发放小微贷款9.44亿元，支持小微企业682家。截至7月末，累计向普惠小微企业发放信用贷款0.21亿元，惠及辖区82户小微企业主和个体工商户。三是服务民生，全情投入发力金融扶贫。</w:t>
      </w:r>
      <w:r>
        <w:rPr>
          <w:rFonts w:hint="eastAsia" w:ascii="仿宋" w:hAnsi="仿宋" w:eastAsia="仿宋" w:cs="仿宋"/>
          <w:b w:val="0"/>
          <w:bCs w:val="0"/>
          <w:kern w:val="2"/>
          <w:sz w:val="32"/>
          <w:szCs w:val="32"/>
          <w:lang w:val="en-US" w:eastAsia="zh-CN" w:bidi="ar-SA"/>
        </w:rPr>
        <w:t>每年安排一定的人力、财力、物力支持双庙镇新建村新农村建设。如投入5万元帮助清理新建村乌拉河淤泥工程；安排5万元专项资金帮助新建村绿化硬化村社道路，建设了新建村文化长廊，购买了健身器材和电商运营电子设备；出资近6万元帮助头道桥挪二村渠坝整修和桥梁翻建，村民将新修的桥命名为“连心桥”；为蛮会村通过发放小额扶贫贷款、为贫困户赠送4万余元的“扶贫羊”、“扶贫鸡”帮助生产生活；为当地养殖合作社办理创业贷款，支持农业发展。疫情期间，累计为该村发放扶贫贷款231万元。截至7月末，累计为346户贫困户发放扶贫小额信用贷款2718.6万元。其次，</w:t>
      </w:r>
      <w:r>
        <w:rPr>
          <w:rFonts w:hint="eastAsia" w:ascii="楷体" w:hAnsi="楷体" w:eastAsia="楷体" w:cs="楷体"/>
          <w:b w:val="0"/>
          <w:bCs w:val="0"/>
          <w:sz w:val="32"/>
          <w:szCs w:val="32"/>
          <w:highlight w:val="none"/>
          <w:lang w:val="en-US" w:eastAsia="zh-CN"/>
        </w:rPr>
        <w:t>支持就业创业。</w:t>
      </w:r>
      <w:r>
        <w:rPr>
          <w:rFonts w:hint="eastAsia" w:ascii="仿宋" w:hAnsi="仿宋" w:eastAsia="仿宋" w:cs="仿宋"/>
          <w:b w:val="0"/>
          <w:bCs w:val="0"/>
          <w:kern w:val="2"/>
          <w:sz w:val="32"/>
          <w:szCs w:val="32"/>
          <w:lang w:val="en-US" w:eastAsia="zh-CN" w:bidi="ar-SA"/>
        </w:rPr>
        <w:t>指定专门支行负责，持续加大对下岗失业人员、返乡农民工等群体的扶持力度，是全旗唯一发放下岗再就贷款的机构。截至7月末，累计发放下岗再就业贷款2596万元，贷款余额2503万元，为241户下岗职工解决了再就业资金需求问题。第三，</w:t>
      </w:r>
      <w:r>
        <w:rPr>
          <w:rFonts w:hint="eastAsia" w:ascii="楷体" w:hAnsi="楷体" w:eastAsia="楷体" w:cs="楷体"/>
          <w:sz w:val="32"/>
          <w:szCs w:val="32"/>
          <w:lang w:val="en-US" w:eastAsia="zh-CN"/>
        </w:rPr>
        <w:t>代发惠农资金。</w:t>
      </w:r>
      <w:r>
        <w:rPr>
          <w:rFonts w:hint="eastAsia" w:ascii="仿宋" w:hAnsi="仿宋" w:eastAsia="仿宋" w:cs="仿宋"/>
          <w:sz w:val="32"/>
          <w:szCs w:val="32"/>
          <w:lang w:val="en-US" w:eastAsia="zh-CN"/>
        </w:rPr>
        <w:t>依托网点优势，免费代发低保、社保、危房改造、农机补贴等44项财政补贴。三年来发放各类财政性补贴金额约6.9亿元，发放笔数113万笔，覆盖全旗19万户群众。</w:t>
      </w:r>
      <w:r>
        <w:rPr>
          <w:rFonts w:hint="eastAsia" w:ascii="黑体" w:hAnsi="黑体" w:eastAsia="黑体" w:cs="黑体"/>
          <w:sz w:val="32"/>
          <w:szCs w:val="32"/>
          <w:lang w:val="en-US" w:eastAsia="zh-CN"/>
        </w:rPr>
        <w:t xml:space="preserve"> </w:t>
      </w:r>
      <w:r>
        <w:rPr>
          <w:rFonts w:hint="eastAsia" w:ascii="仿宋" w:hAnsi="仿宋" w:eastAsia="仿宋" w:cs="仿宋"/>
          <w:sz w:val="32"/>
          <w:szCs w:val="32"/>
          <w:lang w:val="en-US" w:eastAsia="zh-CN"/>
        </w:rPr>
        <w:t>四是公益助力，履行责任回馈一方水土。2015年出资3000余万元建设了杭锦后旗政务服务中心，近三年在“捐资助学”“博爱一日捐”活动中累计捐款154350元。同时，还经常开展“十送关爱进校园”，向旗内小学捐赠物资新冠状病毒肺炎知识挂图；向双秀学校捐赠物资书籍、书包、体育用品、学习文具等慰问品；为花园社区贫困妇女捐赠两癌保险，开展环卫工人、残障人士、空巢老人等慰问活动。新冠疫情发生以后，向杭锦后旗红十字会捐赠现金15万元、党员领导干部捐款38320元、团员青年捐款5100元。</w:t>
      </w:r>
    </w:p>
    <w:p>
      <w:pPr>
        <w:pStyle w:val="13"/>
        <w:rPr>
          <w:rFonts w:hint="eastAsia"/>
          <w:lang w:val="en-US" w:eastAsia="zh-CN"/>
        </w:rPr>
      </w:pPr>
      <w:r>
        <w:rPr>
          <w:rFonts w:hint="eastAsia"/>
          <w:lang w:val="en-US" w:eastAsia="zh-CN"/>
        </w:rPr>
        <w:drawing>
          <wp:inline distT="0" distB="0" distL="114300" distR="114300">
            <wp:extent cx="5266690" cy="3509645"/>
            <wp:effectExtent l="0" t="0" r="10160" b="14605"/>
            <wp:docPr id="6" name="图片 6" descr="陕坝农商银行流动服务车开进农户家提供上门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陕坝农商银行流动服务车开进农户家提供上门服务"/>
                    <pic:cNvPicPr>
                      <a:picLocks noChangeAspect="1"/>
                    </pic:cNvPicPr>
                  </pic:nvPicPr>
                  <pic:blipFill>
                    <a:blip r:embed="rId6"/>
                    <a:stretch>
                      <a:fillRect/>
                    </a:stretch>
                  </pic:blipFill>
                  <pic:spPr>
                    <a:xfrm>
                      <a:off x="0" y="0"/>
                      <a:ext cx="5266690" cy="3509645"/>
                    </a:xfrm>
                    <a:prstGeom prst="rect">
                      <a:avLst/>
                    </a:prstGeom>
                  </pic:spPr>
                </pic:pic>
              </a:graphicData>
            </a:graphic>
          </wp:inline>
        </w:drawing>
      </w:r>
    </w:p>
    <w:p>
      <w:pPr>
        <w:pStyle w:val="13"/>
        <w:rPr>
          <w:rFonts w:hint="eastAsia"/>
          <w:lang w:val="en-US" w:eastAsia="zh-CN"/>
        </w:rPr>
      </w:pPr>
      <w:r>
        <w:rPr>
          <w:rFonts w:hint="eastAsia" w:ascii="仿宋" w:hAnsi="仿宋" w:eastAsia="仿宋" w:cs="仿宋"/>
          <w:b w:val="0"/>
          <w:bCs/>
          <w:lang w:val="en-US" w:eastAsia="zh-CN"/>
        </w:rPr>
        <w:t>（陕坝农商银行流动服务车开进农户家提供上门服务）</w:t>
      </w:r>
    </w:p>
    <w:p>
      <w:pPr>
        <w:pStyle w:val="13"/>
        <w:rPr>
          <w:rFonts w:hint="eastAsia"/>
          <w:lang w:val="en-US" w:eastAsia="zh-CN"/>
        </w:rPr>
      </w:pPr>
      <w:r>
        <w:rPr>
          <w:rFonts w:hint="eastAsia"/>
          <w:lang w:val="en-US" w:eastAsia="zh-CN"/>
        </w:rPr>
        <w:drawing>
          <wp:inline distT="0" distB="0" distL="114300" distR="114300">
            <wp:extent cx="5266690" cy="3950335"/>
            <wp:effectExtent l="0" t="0" r="10160" b="12065"/>
            <wp:docPr id="2" name="图片 2" descr="客户经理走访种植农户和商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客户经理走访种植农户和商户"/>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r>
        <w:rPr>
          <w:rFonts w:hint="eastAsia" w:ascii="仿宋" w:hAnsi="仿宋" w:eastAsia="仿宋" w:cs="仿宋"/>
          <w:b w:val="0"/>
          <w:bCs/>
          <w:lang w:val="en-US" w:eastAsia="zh-CN"/>
        </w:rPr>
        <w:t>（客户经理走访种植农户和商户）</w:t>
      </w:r>
    </w:p>
    <w:p>
      <w:pPr>
        <w:pStyle w:val="13"/>
        <w:rPr>
          <w:rFonts w:hint="eastAsia"/>
          <w:lang w:val="en-US" w:eastAsia="zh-CN"/>
        </w:rPr>
      </w:pPr>
      <w:r>
        <w:rPr>
          <w:rFonts w:hint="eastAsia"/>
          <w:lang w:val="en-US" w:eastAsia="zh-CN"/>
        </w:rPr>
        <w:drawing>
          <wp:inline distT="0" distB="0" distL="114300" distR="114300">
            <wp:extent cx="5266690" cy="3950335"/>
            <wp:effectExtent l="0" t="0" r="10160" b="12065"/>
            <wp:docPr id="4" name="图片 4" descr="陕坝农商银行精准扶贫工作剪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陕坝农商银行精准扶贫工作剪影"/>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ind w:firstLine="1280" w:firstLineChars="400"/>
        <w:rPr>
          <w:rFonts w:hint="eastAsia"/>
          <w:lang w:val="en-US" w:eastAsia="zh-CN"/>
        </w:rPr>
      </w:pPr>
      <w:r>
        <w:rPr>
          <w:rFonts w:hint="eastAsia" w:ascii="仿宋" w:hAnsi="仿宋" w:eastAsia="仿宋" w:cs="仿宋"/>
          <w:sz w:val="32"/>
          <w:szCs w:val="32"/>
          <w:lang w:val="en-US" w:eastAsia="zh-CN"/>
        </w:rPr>
        <w:t>（陕坝农商银行精准扶贫工作剪影）</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left="0" w:firstLine="0" w:firstLineChars="0"/>
        <w:jc w:val="center"/>
        <w:textAlignment w:val="auto"/>
        <w:outlineLvl w:val="9"/>
        <w:rPr>
          <w:rFonts w:hint="eastAsia" w:ascii="华文中宋" w:hAnsi="华文中宋" w:eastAsia="华文中宋" w:cs="华文中宋"/>
          <w:b w:val="0"/>
          <w:bCs/>
          <w:color w:val="auto"/>
          <w:spacing w:val="-11"/>
          <w:sz w:val="42"/>
          <w:szCs w:val="42"/>
          <w:lang w:val="en-US" w:eastAsia="zh-CN"/>
        </w:rPr>
      </w:pPr>
      <w:r>
        <w:rPr>
          <w:rFonts w:hint="eastAsia" w:ascii="华文中宋" w:hAnsi="华文中宋" w:eastAsia="华文中宋" w:cs="华文中宋"/>
          <w:b w:val="0"/>
          <w:bCs/>
          <w:color w:val="auto"/>
          <w:spacing w:val="-11"/>
          <w:sz w:val="42"/>
          <w:szCs w:val="42"/>
          <w:lang w:val="en-US" w:eastAsia="zh-CN"/>
        </w:rPr>
        <w:drawing>
          <wp:inline distT="0" distB="0" distL="114300" distR="114300">
            <wp:extent cx="5257800" cy="3504565"/>
            <wp:effectExtent l="0" t="0" r="0" b="635"/>
            <wp:docPr id="7" name="图片 7" descr="客户经理走访实体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客户经理走访实体企业"/>
                    <pic:cNvPicPr>
                      <a:picLocks noChangeAspect="1"/>
                    </pic:cNvPicPr>
                  </pic:nvPicPr>
                  <pic:blipFill>
                    <a:blip r:embed="rId9"/>
                    <a:stretch>
                      <a:fillRect/>
                    </a:stretch>
                  </pic:blipFill>
                  <pic:spPr>
                    <a:xfrm>
                      <a:off x="0" y="0"/>
                      <a:ext cx="5257800" cy="3504565"/>
                    </a:xfrm>
                    <a:prstGeom prst="rect">
                      <a:avLst/>
                    </a:prstGeom>
                  </pic:spPr>
                </pic:pic>
              </a:graphicData>
            </a:graphic>
          </wp:inline>
        </w:drawing>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80" w:lineRule="exact"/>
        <w:ind w:left="2160" w:hanging="2388" w:hangingChars="600"/>
        <w:jc w:val="center"/>
        <w:textAlignment w:val="auto"/>
        <w:outlineLvl w:val="9"/>
        <w:rPr>
          <w:rFonts w:hint="eastAsia" w:ascii="仿宋" w:hAnsi="仿宋" w:eastAsia="仿宋" w:cs="仿宋"/>
          <w:b w:val="0"/>
          <w:bCs/>
          <w:color w:val="auto"/>
          <w:spacing w:val="-11"/>
          <w:sz w:val="32"/>
          <w:szCs w:val="32"/>
          <w:lang w:val="en-US" w:eastAsia="zh-CN"/>
        </w:rPr>
      </w:pPr>
      <w:r>
        <w:rPr>
          <w:rFonts w:hint="eastAsia" w:ascii="华文中宋" w:hAnsi="华文中宋" w:eastAsia="华文中宋" w:cs="华文中宋"/>
          <w:b w:val="0"/>
          <w:bCs/>
          <w:color w:val="auto"/>
          <w:spacing w:val="-11"/>
          <w:sz w:val="42"/>
          <w:szCs w:val="42"/>
          <w:lang w:val="en-US" w:eastAsia="zh-CN"/>
        </w:rPr>
        <w:t>（</w:t>
      </w:r>
      <w:r>
        <w:rPr>
          <w:rFonts w:hint="eastAsia" w:ascii="仿宋" w:hAnsi="仿宋" w:eastAsia="仿宋" w:cs="仿宋"/>
          <w:b w:val="0"/>
          <w:bCs/>
          <w:color w:val="auto"/>
          <w:spacing w:val="-11"/>
          <w:sz w:val="32"/>
          <w:szCs w:val="32"/>
          <w:lang w:val="en-US" w:eastAsia="zh-CN"/>
        </w:rPr>
        <w:t>客户经理走访实体企业）</w:t>
      </w:r>
    </w:p>
    <w:p>
      <w:pPr>
        <w:pStyle w:val="8"/>
        <w:ind w:left="0" w:leftChars="0" w:firstLine="0" w:firstLineChars="0"/>
        <w:rPr>
          <w:rFonts w:hint="eastAsia"/>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80" w:lineRule="exact"/>
        <w:ind w:left="2160" w:hanging="1788" w:hangingChars="600"/>
        <w:jc w:val="center"/>
        <w:textAlignment w:val="auto"/>
        <w:outlineLvl w:val="9"/>
        <w:rPr>
          <w:rFonts w:hint="eastAsia" w:ascii="黑体" w:hAnsi="黑体" w:eastAsia="黑体" w:cs="黑体"/>
          <w:b w:val="0"/>
          <w:bCs/>
          <w:i w:val="0"/>
          <w:iCs w:val="0"/>
          <w:caps w:val="0"/>
          <w:color w:val="auto"/>
          <w:spacing w:val="-11"/>
          <w:sz w:val="32"/>
          <w:szCs w:val="32"/>
          <w:shd w:val="clear" w:fill="FFFFFF"/>
        </w:rPr>
      </w:pPr>
      <w:r>
        <w:rPr>
          <w:rFonts w:hint="eastAsia" w:ascii="黑体" w:hAnsi="黑体" w:eastAsia="黑体" w:cs="黑体"/>
          <w:b w:val="0"/>
          <w:bCs/>
          <w:i w:val="0"/>
          <w:iCs w:val="0"/>
          <w:caps w:val="0"/>
          <w:color w:val="auto"/>
          <w:spacing w:val="-11"/>
          <w:sz w:val="32"/>
          <w:szCs w:val="32"/>
          <w:shd w:val="clear" w:fill="FFFFFF"/>
        </w:rPr>
        <w:t>乌拉特后旗联社立足本源，全力开展抗旱救灾工作</w:t>
      </w:r>
    </w:p>
    <w:p>
      <w:pPr>
        <w:pStyle w:val="8"/>
        <w:rPr>
          <w:rFonts w:hint="eastAsia"/>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outlineLvl w:val="9"/>
        <w:rPr>
          <w:rFonts w:hint="eastAsia" w:ascii="仿宋_GB2312" w:hAnsi="仿宋_GB2312" w:eastAsia="仿宋_GB2312" w:cs="仿宋_GB2312"/>
          <w:i w:val="0"/>
          <w:iCs w:val="0"/>
          <w:caps w:val="0"/>
          <w:color w:val="auto"/>
          <w:spacing w:val="8"/>
          <w:sz w:val="32"/>
          <w:szCs w:val="32"/>
          <w:shd w:val="clear" w:fill="FFFFFF"/>
        </w:rPr>
      </w:pPr>
      <w:r>
        <w:rPr>
          <w:rFonts w:hint="eastAsia" w:ascii="仿宋_GB2312" w:hAnsi="仿宋_GB2312" w:eastAsia="仿宋_GB2312" w:cs="仿宋_GB2312"/>
          <w:i w:val="0"/>
          <w:iCs w:val="0"/>
          <w:caps w:val="0"/>
          <w:color w:val="auto"/>
          <w:spacing w:val="8"/>
          <w:sz w:val="32"/>
          <w:szCs w:val="32"/>
          <w:shd w:val="clear" w:fill="FFFFFF"/>
        </w:rPr>
        <w:t>今年以来，乌拉特后旗六个苏木镇不同程度受到旱情影响。旱情持续时间长、影响范围广，畜牧业生产受到严重影响，给牧民的生产生活带来极大困扰。面对灾情，乌拉特后旗联社把群众挂在心头，用实际行动支援受灾牧区，用爱心点亮农民牧生产自救希望。</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i w:val="0"/>
          <w:iCs w:val="0"/>
          <w:caps w:val="0"/>
          <w:color w:val="auto"/>
          <w:spacing w:val="8"/>
          <w:sz w:val="32"/>
          <w:szCs w:val="32"/>
          <w:shd w:val="clear" w:fill="FFFFFF"/>
        </w:rPr>
        <w:t>鉴于抗灾形势相当严峻，</w:t>
      </w:r>
      <w:r>
        <w:rPr>
          <w:rFonts w:hint="eastAsia" w:ascii="仿宋_GB2312" w:hAnsi="仿宋_GB2312" w:eastAsia="仿宋_GB2312" w:cs="仿宋_GB2312"/>
          <w:i w:val="0"/>
          <w:iCs w:val="0"/>
          <w:caps w:val="0"/>
          <w:color w:val="auto"/>
          <w:spacing w:val="8"/>
          <w:sz w:val="32"/>
          <w:szCs w:val="32"/>
          <w:shd w:val="clear" w:fill="FFFFFF"/>
          <w:lang w:val="en-US" w:eastAsia="zh-CN"/>
        </w:rPr>
        <w:t>乌拉特后旗联社多措并举，</w:t>
      </w:r>
      <w:r>
        <w:rPr>
          <w:rFonts w:hint="eastAsia" w:ascii="仿宋_GB2312" w:hAnsi="仿宋_GB2312" w:eastAsia="仿宋_GB2312" w:cs="仿宋_GB2312"/>
          <w:i w:val="0"/>
          <w:iCs w:val="0"/>
          <w:caps w:val="0"/>
          <w:color w:val="auto"/>
          <w:spacing w:val="8"/>
          <w:sz w:val="32"/>
          <w:szCs w:val="32"/>
          <w:shd w:val="clear" w:fill="FFFFFF"/>
        </w:rPr>
        <w:t>大力开展抗旱救灾</w:t>
      </w:r>
      <w:r>
        <w:rPr>
          <w:rFonts w:hint="eastAsia" w:ascii="仿宋_GB2312" w:hAnsi="仿宋_GB2312" w:eastAsia="仿宋_GB2312" w:cs="仿宋_GB2312"/>
          <w:i w:val="0"/>
          <w:iCs w:val="0"/>
          <w:caps w:val="0"/>
          <w:color w:val="auto"/>
          <w:spacing w:val="8"/>
          <w:sz w:val="32"/>
          <w:szCs w:val="32"/>
          <w:shd w:val="clear" w:fill="FFFFFF"/>
          <w:lang w:val="en-US" w:eastAsia="zh-CN"/>
        </w:rPr>
        <w:t>工作</w:t>
      </w:r>
      <w:r>
        <w:rPr>
          <w:rFonts w:hint="eastAsia" w:ascii="仿宋_GB2312" w:hAnsi="仿宋_GB2312" w:eastAsia="仿宋_GB2312" w:cs="仿宋_GB2312"/>
          <w:i w:val="0"/>
          <w:iCs w:val="0"/>
          <w:caps w:val="0"/>
          <w:color w:val="auto"/>
          <w:spacing w:val="8"/>
          <w:sz w:val="32"/>
          <w:szCs w:val="32"/>
          <w:shd w:val="clear" w:fill="FFFFFF"/>
        </w:rPr>
        <w:t>，充分发挥地方金融主力军作用</w:t>
      </w:r>
      <w:r>
        <w:rPr>
          <w:rFonts w:hint="eastAsia" w:ascii="仿宋_GB2312" w:hAnsi="仿宋_GB2312" w:eastAsia="仿宋_GB2312" w:cs="仿宋_GB2312"/>
          <w:color w:val="auto"/>
          <w:kern w:val="0"/>
          <w:sz w:val="32"/>
          <w:szCs w:val="32"/>
          <w:lang w:eastAsia="zh-CN"/>
        </w:rPr>
        <w:t>，迅速成立了抗旱救灾信贷服务小分队，</w:t>
      </w:r>
      <w:r>
        <w:rPr>
          <w:rFonts w:hint="eastAsia" w:ascii="仿宋_GB2312" w:hAnsi="仿宋_GB2312" w:eastAsia="仿宋_GB2312" w:cs="仿宋_GB2312"/>
          <w:i w:val="0"/>
          <w:iCs w:val="0"/>
          <w:caps w:val="0"/>
          <w:color w:val="auto"/>
          <w:spacing w:val="8"/>
          <w:sz w:val="32"/>
          <w:szCs w:val="32"/>
          <w:shd w:val="clear" w:fill="FFFFFF"/>
        </w:rPr>
        <w:t>发扬“背包下乡”精神，</w:t>
      </w:r>
      <w:r>
        <w:rPr>
          <w:rFonts w:hint="eastAsia" w:ascii="仿宋_GB2312" w:hAnsi="仿宋_GB2312" w:eastAsia="仿宋_GB2312" w:cs="仿宋_GB2312"/>
          <w:color w:val="auto"/>
          <w:kern w:val="0"/>
          <w:sz w:val="32"/>
          <w:szCs w:val="32"/>
          <w:lang w:eastAsia="zh-CN"/>
        </w:rPr>
        <w:t>深入抗旱一线助牧“解暑热”，就抗旱救灾贷款事宜与乌拉特后旗潮格温都尔镇党政领导班子、嘎查“两委”进行洽谈。</w:t>
      </w:r>
      <w:r>
        <w:rPr>
          <w:rFonts w:hint="eastAsia" w:ascii="仿宋_GB2312" w:hAnsi="仿宋_GB2312" w:eastAsia="仿宋_GB2312" w:cs="仿宋_GB2312"/>
          <w:i w:val="0"/>
          <w:iCs w:val="0"/>
          <w:caps w:val="0"/>
          <w:color w:val="auto"/>
          <w:spacing w:val="8"/>
          <w:sz w:val="32"/>
          <w:szCs w:val="32"/>
          <w:shd w:val="clear" w:fill="FFFFFF"/>
        </w:rPr>
        <w:t>针对受灾牧民贷款利率下调3.6个百分点，积极推广富农易贷，让受灾牧户在少跑路的同时，切实感受到农信社是离大地最近、与百姓最亲的银行。</w:t>
      </w:r>
      <w:r>
        <w:rPr>
          <w:rFonts w:hint="eastAsia" w:ascii="仿宋_GB2312" w:hAnsi="仿宋_GB2312" w:eastAsia="仿宋_GB2312" w:cs="仿宋_GB2312"/>
          <w:color w:val="auto"/>
          <w:kern w:val="0"/>
          <w:sz w:val="32"/>
          <w:szCs w:val="32"/>
          <w:lang w:eastAsia="zh-CN"/>
        </w:rPr>
        <w:t>截</w:t>
      </w:r>
      <w:r>
        <w:rPr>
          <w:rFonts w:hint="eastAsia" w:ascii="仿宋_GB2312" w:hAnsi="仿宋_GB2312" w:eastAsia="仿宋_GB2312" w:cs="仿宋_GB2312"/>
          <w:color w:val="auto"/>
          <w:kern w:val="0"/>
          <w:sz w:val="32"/>
          <w:szCs w:val="32"/>
          <w:lang w:val="en-US" w:eastAsia="zh-CN"/>
        </w:rPr>
        <w:t>至2021年8月末，</w:t>
      </w:r>
      <w:r>
        <w:rPr>
          <w:rFonts w:hint="eastAsia" w:ascii="仿宋_GB2312" w:hAnsi="仿宋_GB2312" w:eastAsia="仿宋_GB2312" w:cs="仿宋_GB2312"/>
          <w:color w:val="auto"/>
          <w:kern w:val="0"/>
          <w:sz w:val="32"/>
          <w:szCs w:val="32"/>
          <w:lang w:eastAsia="zh-CN"/>
        </w:rPr>
        <w:t>累计发放抗旱救灾资金</w:t>
      </w:r>
      <w:r>
        <w:rPr>
          <w:rFonts w:hint="eastAsia" w:ascii="仿宋_GB2312" w:hAnsi="仿宋_GB2312" w:eastAsia="仿宋_GB2312" w:cs="仿宋_GB2312"/>
          <w:color w:val="auto"/>
          <w:kern w:val="0"/>
          <w:sz w:val="32"/>
          <w:szCs w:val="32"/>
          <w:lang w:val="en-US" w:eastAsia="zh-CN"/>
        </w:rPr>
        <w:t>200余万元，切实为40余户牧民解决了抗旱救灾资金短缺问题。</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both"/>
        <w:textAlignment w:val="auto"/>
        <w:rPr>
          <w:color w:val="auto"/>
        </w:rPr>
      </w:pPr>
      <w:r>
        <w:rPr>
          <w:rFonts w:hint="eastAsia" w:ascii="仿宋_GB2312" w:hAnsi="仿宋_GB2312" w:eastAsia="仿宋_GB2312" w:cs="仿宋_GB2312"/>
          <w:color w:val="auto"/>
          <w:kern w:val="0"/>
          <w:sz w:val="32"/>
          <w:szCs w:val="32"/>
          <w:lang w:val="en-US" w:eastAsia="zh-CN"/>
        </w:rPr>
        <w:t>大灾有大爱，旱灾无情人有情。面对当前旱灾严峻形势，乌拉特后旗联社将牢记服务“三农”的崇高使命，认真履行服务“三农”的神圣职责，坚定践行服务“三农”的经营宗旨，全力以赴做好抗旱救灾金融服务工作，支援灾区群众共度难关，为抗旱救灾做出力所能及的贡献。</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outlineLvl w:val="9"/>
        <w:rPr>
          <w:rFonts w:hint="eastAsia" w:ascii="仿宋_GB2312" w:hAnsi="仿宋_GB2312" w:eastAsia="仿宋_GB2312" w:cs="仿宋_GB2312"/>
          <w:i w:val="0"/>
          <w:iCs w:val="0"/>
          <w:caps w:val="0"/>
          <w:color w:val="auto"/>
          <w:spacing w:val="8"/>
          <w:sz w:val="32"/>
          <w:szCs w:val="32"/>
          <w:shd w:val="clear" w:fill="FFFFFF"/>
          <w:lang w:eastAsia="zh-CN"/>
        </w:rPr>
      </w:pPr>
      <w:r>
        <w:rPr>
          <w:rFonts w:hint="eastAsia" w:ascii="仿宋_GB2312" w:hAnsi="仿宋_GB2312" w:eastAsia="仿宋_GB2312" w:cs="仿宋_GB2312"/>
          <w:i w:val="0"/>
          <w:iCs w:val="0"/>
          <w:caps w:val="0"/>
          <w:color w:val="auto"/>
          <w:spacing w:val="8"/>
          <w:sz w:val="32"/>
          <w:szCs w:val="32"/>
          <w:shd w:val="clear" w:fill="FFFFFF"/>
          <w:lang w:eastAsia="zh-CN"/>
        </w:rPr>
        <w:drawing>
          <wp:inline distT="0" distB="0" distL="114300" distR="114300">
            <wp:extent cx="5266690" cy="3950335"/>
            <wp:effectExtent l="0" t="0" r="10160" b="12065"/>
            <wp:docPr id="3" name="图片 3" descr="微信图片_2021083115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831153501"/>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80" w:lineRule="exact"/>
        <w:jc w:val="both"/>
        <w:textAlignment w:val="auto"/>
        <w:outlineLvl w:val="9"/>
        <w:rPr>
          <w:rFonts w:hint="eastAsia" w:ascii="仿宋_GB2312" w:hAnsi="仿宋_GB2312" w:eastAsia="仿宋_GB2312" w:cs="仿宋_GB2312"/>
          <w:i w:val="0"/>
          <w:iCs w:val="0"/>
          <w:caps w:val="0"/>
          <w:color w:val="auto"/>
          <w:spacing w:val="8"/>
          <w:sz w:val="32"/>
          <w:szCs w:val="32"/>
          <w:shd w:val="clear" w:fill="FFFFFF"/>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672" w:firstLineChars="200"/>
        <w:jc w:val="both"/>
        <w:textAlignment w:val="auto"/>
        <w:rPr>
          <w:rFonts w:hint="eastAsia"/>
          <w:lang w:eastAsia="zh-CN"/>
        </w:rPr>
      </w:pPr>
      <w:r>
        <w:rPr>
          <w:rFonts w:hint="eastAsia" w:ascii="仿宋_GB2312" w:hAnsi="仿宋_GB2312" w:eastAsia="仿宋_GB2312" w:cs="仿宋_GB2312"/>
          <w:i w:val="0"/>
          <w:iCs w:val="0"/>
          <w:caps w:val="0"/>
          <w:color w:val="auto"/>
          <w:spacing w:val="8"/>
          <w:sz w:val="32"/>
          <w:szCs w:val="32"/>
          <w:shd w:val="clear" w:fill="FFFFFF"/>
        </w:rPr>
        <w:t> </w:t>
      </w:r>
      <w:r>
        <w:rPr>
          <w:rFonts w:hint="eastAsia" w:ascii="仿宋_GB2312" w:hAnsi="仿宋_GB2312" w:eastAsia="仿宋_GB2312" w:cs="仿宋_GB2312"/>
          <w:i w:val="0"/>
          <w:iCs w:val="0"/>
          <w:caps w:val="0"/>
          <w:color w:val="auto"/>
          <w:spacing w:val="8"/>
          <w:sz w:val="32"/>
          <w:szCs w:val="32"/>
          <w:shd w:val="clear" w:fill="FFFFFF"/>
          <w:lang w:val="en-US" w:eastAsia="zh-CN"/>
        </w:rPr>
        <w:t xml:space="preserve">                          （供稿人</w:t>
      </w:r>
      <w:r>
        <w:rPr>
          <w:rFonts w:hint="eastAsia" w:ascii="仿宋_GB2312" w:hAnsi="仿宋_GB2312" w:eastAsia="仿宋_GB2312" w:cs="仿宋_GB2312"/>
          <w:i w:val="0"/>
          <w:iCs w:val="0"/>
          <w:caps w:val="0"/>
          <w:color w:val="auto"/>
          <w:spacing w:val="8"/>
          <w:sz w:val="32"/>
          <w:szCs w:val="32"/>
          <w:shd w:val="clear" w:fill="FFFFFF"/>
        </w:rPr>
        <w:t xml:space="preserve"> 薛志</w:t>
      </w:r>
      <w:r>
        <w:rPr>
          <w:rFonts w:hint="eastAsia" w:ascii="仿宋_GB2312" w:hAnsi="仿宋_GB2312" w:eastAsia="仿宋_GB2312" w:cs="仿宋_GB2312"/>
          <w:i w:val="0"/>
          <w:iCs w:val="0"/>
          <w:caps w:val="0"/>
          <w:color w:val="auto"/>
          <w:spacing w:val="8"/>
          <w:sz w:val="32"/>
          <w:szCs w:val="32"/>
          <w:shd w:val="clear" w:fill="FFFFFF"/>
          <w:lang w:eastAsia="zh-CN"/>
        </w:rPr>
        <w:t>）</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河套农商银行支持“火红小辣椒”向</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“乡村振兴大产业”优化升级</w:t>
      </w:r>
    </w:p>
    <w:p>
      <w:pPr>
        <w:pStyle w:val="1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72" w:firstLineChars="200"/>
        <w:textAlignment w:val="auto"/>
        <w:rPr>
          <w:rFonts w:hint="eastAsia" w:ascii="仿宋" w:hAnsi="仿宋" w:eastAsia="仿宋" w:cs="仿宋"/>
          <w:i w:val="0"/>
          <w:iCs w:val="0"/>
          <w:caps w:val="0"/>
          <w:color w:val="000000"/>
          <w:spacing w:val="8"/>
          <w:sz w:val="32"/>
          <w:szCs w:val="32"/>
          <w:shd w:val="clear" w:color="auto" w:fill="FFFFFF"/>
          <w:lang w:val="en-US" w:eastAsia="zh-CN"/>
        </w:rPr>
      </w:pPr>
      <w:r>
        <w:rPr>
          <w:rFonts w:hint="eastAsia" w:ascii="仿宋" w:hAnsi="仿宋" w:eastAsia="仿宋" w:cs="仿宋"/>
          <w:i w:val="0"/>
          <w:iCs w:val="0"/>
          <w:caps w:val="0"/>
          <w:color w:val="000000"/>
          <w:spacing w:val="8"/>
          <w:sz w:val="32"/>
          <w:szCs w:val="32"/>
          <w:shd w:val="clear" w:color="auto" w:fill="FFFFFF"/>
          <w:lang w:val="en-US" w:eastAsia="zh-CN"/>
        </w:rPr>
        <w:t>8月29日，由河套农商银行冠名支持的“河套农商银行杯”辣椒嘉年华在巴彦淖尔市“院市共建”辣椒特色产业小镇示范项目区白脑包镇永清村举行。市委常委、副市长邱永红出席活动。</w:t>
      </w:r>
    </w:p>
    <w:p>
      <w:pPr>
        <w:keepNext w:val="0"/>
        <w:keepLines w:val="0"/>
        <w:pageBreakBefore w:val="0"/>
        <w:widowControl w:val="0"/>
        <w:kinsoku/>
        <w:wordWrap/>
        <w:overflowPunct/>
        <w:topLinePunct w:val="0"/>
        <w:autoSpaceDE/>
        <w:autoSpaceDN/>
        <w:bidi w:val="0"/>
        <w:adjustRightInd/>
        <w:snapToGrid/>
        <w:spacing w:line="240" w:lineRule="auto"/>
        <w:ind w:firstLine="672" w:firstLineChars="200"/>
        <w:textAlignment w:val="auto"/>
        <w:rPr>
          <w:rFonts w:hint="eastAsia" w:ascii="仿宋" w:hAnsi="仿宋" w:eastAsia="仿宋" w:cs="仿宋"/>
          <w:i w:val="0"/>
          <w:iCs w:val="0"/>
          <w:caps w:val="0"/>
          <w:color w:val="000000"/>
          <w:spacing w:val="8"/>
          <w:sz w:val="32"/>
          <w:szCs w:val="32"/>
          <w:shd w:val="clear" w:color="auto" w:fill="FFFFFF"/>
          <w:lang w:val="en-US" w:eastAsia="zh-CN"/>
        </w:rPr>
      </w:pPr>
      <w:r>
        <w:rPr>
          <w:rFonts w:hint="eastAsia" w:ascii="仿宋" w:hAnsi="仿宋" w:eastAsia="仿宋" w:cs="仿宋"/>
          <w:i w:val="0"/>
          <w:iCs w:val="0"/>
          <w:caps w:val="0"/>
          <w:color w:val="000000"/>
          <w:spacing w:val="8"/>
          <w:sz w:val="32"/>
          <w:szCs w:val="32"/>
          <w:shd w:val="clear" w:color="auto" w:fill="FFFFFF"/>
          <w:lang w:val="en-US" w:eastAsia="zh-CN"/>
        </w:rPr>
        <w:t>本次活动设有椒王争霸赛、直播带货等8个项目，通过丰富多彩的形式全面展示了临河区白脑包镇特色农产品优势，助力“双椒”产业走向更广阔平台。同日，邱市长还赴河套农商银行丹达支行调研农村土地承包经营权贷款投放情况及助推辣椒产业信贷支持情况。</w:t>
      </w:r>
    </w:p>
    <w:p>
      <w:pPr>
        <w:keepNext w:val="0"/>
        <w:keepLines w:val="0"/>
        <w:pageBreakBefore w:val="0"/>
        <w:widowControl w:val="0"/>
        <w:kinsoku/>
        <w:wordWrap/>
        <w:overflowPunct/>
        <w:topLinePunct w:val="0"/>
        <w:autoSpaceDE/>
        <w:autoSpaceDN/>
        <w:bidi w:val="0"/>
        <w:adjustRightInd/>
        <w:snapToGrid/>
        <w:spacing w:line="600" w:lineRule="exact"/>
        <w:ind w:firstLine="672" w:firstLineChars="200"/>
        <w:textAlignment w:val="auto"/>
        <w:rPr>
          <w:rFonts w:hint="eastAsia" w:ascii="仿宋" w:hAnsi="仿宋" w:eastAsia="仿宋" w:cs="仿宋"/>
          <w:i w:val="0"/>
          <w:iCs w:val="0"/>
          <w:caps w:val="0"/>
          <w:color w:val="000000"/>
          <w:spacing w:val="8"/>
          <w:sz w:val="32"/>
          <w:szCs w:val="32"/>
          <w:shd w:val="clear" w:color="auto" w:fill="FFFFFF"/>
          <w:lang w:val="en-US" w:eastAsia="zh-CN"/>
        </w:rPr>
      </w:pPr>
      <w:r>
        <w:rPr>
          <w:rFonts w:hint="eastAsia" w:ascii="仿宋" w:hAnsi="仿宋" w:eastAsia="仿宋" w:cs="仿宋"/>
          <w:i w:val="0"/>
          <w:iCs w:val="0"/>
          <w:caps w:val="0"/>
          <w:color w:val="000000"/>
          <w:spacing w:val="8"/>
          <w:sz w:val="32"/>
          <w:szCs w:val="32"/>
          <w:shd w:val="clear" w:color="auto" w:fill="FFFFFF"/>
          <w:lang w:val="en-US" w:eastAsia="zh-CN"/>
        </w:rPr>
        <w:t>今年，巴彦淖尔市引进了自治区农科院和内蒙古巴美优鲜蔬果公司，在白脑包镇打造“院市共建”辣椒特色产业小镇示范项目。项目推行“党支部+龙头企业+公司+基地+农户”发展模式，集中连片种植鲜食椒、酱用椒1500亩，辐射带动周边农户参与种植5000亩。全镇辣椒、青椒综合种植面积达到2.51万亩，占全区总播面积的30%。河套农商银行依托项目优势，主动迎合项目需求，结合辣椒种植特点，及时优化信贷结构，在降低准入门槛的同时下调农户贷款利率，为辣椒种植户、农产品购销商源源不断地提供信贷支持。今年，累计投放贷款9753万元支持项目区辣椒种植，支持农户2138户，同比增加2750万元、373户，帮助农民从零散种植向大面积种植发展。 为推动当地农产品就地转化增值，政府牵头引进和培育农产品深加工企业，推动集约化、规模化发展。河套农商银行秉持“支农支小”初心使命，与地方农业推广政策同频共振，深入推进银政、银企合作，持续加大对种植大户、家庭农场、农产品深加工企业等信贷支持力度，今年累计发放种植类贷款16.69亿元、支持农户29722户，累计发放涉农小微企业贷款9.32亿元。截至7月末，全行涉农贷款余额55.26亿元，占各项贷款的65.7%。</w:t>
      </w:r>
    </w:p>
    <w:p>
      <w:pPr>
        <w:keepNext w:val="0"/>
        <w:keepLines w:val="0"/>
        <w:pageBreakBefore w:val="0"/>
        <w:widowControl w:val="0"/>
        <w:kinsoku/>
        <w:wordWrap/>
        <w:overflowPunct/>
        <w:topLinePunct w:val="0"/>
        <w:autoSpaceDE/>
        <w:autoSpaceDN/>
        <w:bidi w:val="0"/>
        <w:adjustRightInd/>
        <w:snapToGrid/>
        <w:spacing w:line="600" w:lineRule="exact"/>
        <w:ind w:firstLine="672" w:firstLineChars="200"/>
        <w:textAlignment w:val="auto"/>
        <w:rPr>
          <w:rFonts w:hint="eastAsia" w:ascii="仿宋" w:hAnsi="仿宋" w:eastAsia="仿宋" w:cs="仿宋"/>
          <w:i w:val="0"/>
          <w:iCs w:val="0"/>
          <w:caps w:val="0"/>
          <w:color w:val="000000"/>
          <w:spacing w:val="8"/>
          <w:sz w:val="32"/>
          <w:szCs w:val="32"/>
          <w:shd w:val="clear" w:color="auto" w:fill="FFFFFF"/>
          <w:lang w:val="en-US" w:eastAsia="zh-CN"/>
        </w:rPr>
      </w:pPr>
      <w:r>
        <w:rPr>
          <w:rFonts w:hint="eastAsia" w:ascii="仿宋" w:hAnsi="仿宋" w:eastAsia="仿宋" w:cs="仿宋"/>
          <w:i w:val="0"/>
          <w:iCs w:val="0"/>
          <w:caps w:val="0"/>
          <w:color w:val="000000"/>
          <w:spacing w:val="8"/>
          <w:sz w:val="32"/>
          <w:szCs w:val="32"/>
          <w:shd w:val="clear" w:color="auto" w:fill="FFFFFF"/>
          <w:lang w:val="en-US" w:eastAsia="zh-CN"/>
        </w:rPr>
        <w:t>下一步，河套农商银行将以服务本地特色产业为导向，创新推出“火辣贷”，对辣椒产业生产、加工、流通等环节的企业、合作社、农户等提供贷款服务，助力“火红小辣椒”向“富民大产业”优化升级，为促进农业增效、农民增收、发展乡村振兴提供更多优质金融服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i w:val="0"/>
          <w:iCs w:val="0"/>
          <w:caps w:val="0"/>
          <w:color w:val="000000"/>
          <w:spacing w:val="8"/>
          <w:sz w:val="32"/>
          <w:szCs w:val="32"/>
          <w:shd w:val="clear" w:color="auto" w:fill="FFFFFF"/>
          <w:lang w:val="en-US" w:eastAsia="zh-CN"/>
        </w:rPr>
      </w:pPr>
      <w:r>
        <w:rPr>
          <w:rFonts w:hint="eastAsia" w:ascii="仿宋" w:hAnsi="仿宋" w:eastAsia="仿宋" w:cs="仿宋"/>
          <w:i w:val="0"/>
          <w:iCs w:val="0"/>
          <w:caps w:val="0"/>
          <w:color w:val="000000"/>
          <w:spacing w:val="8"/>
          <w:sz w:val="32"/>
          <w:szCs w:val="32"/>
          <w:shd w:val="clear" w:color="auto" w:fill="FFFFFF"/>
          <w:lang w:val="en-US" w:eastAsia="zh-CN"/>
        </w:rPr>
        <w:drawing>
          <wp:inline distT="0" distB="0" distL="114300" distR="114300">
            <wp:extent cx="5205730" cy="3470910"/>
            <wp:effectExtent l="0" t="0" r="13970" b="15240"/>
            <wp:docPr id="8" name="图片 8" descr="036A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36A9145"/>
                    <pic:cNvPicPr>
                      <a:picLocks noChangeAspect="1"/>
                    </pic:cNvPicPr>
                  </pic:nvPicPr>
                  <pic:blipFill>
                    <a:blip r:embed="rId11"/>
                    <a:stretch>
                      <a:fillRect/>
                    </a:stretch>
                  </pic:blipFill>
                  <pic:spPr>
                    <a:xfrm>
                      <a:off x="0" y="0"/>
                      <a:ext cx="5205730" cy="3470910"/>
                    </a:xfrm>
                    <a:prstGeom prst="rect">
                      <a:avLst/>
                    </a:prstGeom>
                  </pic:spPr>
                </pic:pic>
              </a:graphicData>
            </a:graphic>
          </wp:inline>
        </w:drawing>
      </w:r>
    </w:p>
    <w:p>
      <w:pPr>
        <w:pStyle w:val="11"/>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i w:val="0"/>
          <w:iCs w:val="0"/>
          <w:caps w:val="0"/>
          <w:color w:val="000000"/>
          <w:spacing w:val="8"/>
          <w:sz w:val="32"/>
          <w:szCs w:val="32"/>
          <w:shd w:val="clear" w:color="auto" w:fill="FFFFFF"/>
          <w:lang w:val="en-US" w:eastAsia="zh-CN"/>
        </w:rPr>
      </w:pPr>
      <w:r>
        <w:rPr>
          <w:rFonts w:hint="eastAsia" w:ascii="仿宋" w:hAnsi="仿宋" w:eastAsia="仿宋" w:cs="仿宋"/>
          <w:i w:val="0"/>
          <w:iCs w:val="0"/>
          <w:caps w:val="0"/>
          <w:color w:val="000000"/>
          <w:spacing w:val="8"/>
          <w:sz w:val="32"/>
          <w:szCs w:val="32"/>
          <w:shd w:val="clear" w:color="auto" w:fill="FFFFFF"/>
          <w:lang w:val="en-US" w:eastAsia="zh-CN"/>
        </w:rPr>
        <w:drawing>
          <wp:inline distT="0" distB="0" distL="114300" distR="114300">
            <wp:extent cx="5205730" cy="3470910"/>
            <wp:effectExtent l="0" t="0" r="13970" b="15240"/>
            <wp:docPr id="9" name="图片 9" descr="036A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36A9277"/>
                    <pic:cNvPicPr>
                      <a:picLocks noChangeAspect="1"/>
                    </pic:cNvPicPr>
                  </pic:nvPicPr>
                  <pic:blipFill>
                    <a:blip r:embed="rId12"/>
                    <a:stretch>
                      <a:fillRect/>
                    </a:stretch>
                  </pic:blipFill>
                  <pic:spPr>
                    <a:xfrm>
                      <a:off x="0" y="0"/>
                      <a:ext cx="5205730" cy="3470910"/>
                    </a:xfrm>
                    <a:prstGeom prst="rect">
                      <a:avLst/>
                    </a:prstGeom>
                  </pic:spPr>
                </pic:pic>
              </a:graphicData>
            </a:graphic>
          </wp:inline>
        </w:drawing>
      </w:r>
    </w:p>
    <w:p>
      <w:pPr>
        <w:pStyle w:val="2"/>
        <w:rPr>
          <w:rFonts w:hint="eastAsia" w:ascii="仿宋" w:hAnsi="仿宋" w:eastAsia="仿宋" w:cs="仿宋"/>
          <w:i w:val="0"/>
          <w:iCs w:val="0"/>
          <w:caps w:val="0"/>
          <w:color w:val="000000"/>
          <w:spacing w:val="8"/>
          <w:sz w:val="32"/>
          <w:szCs w:val="32"/>
          <w:shd w:val="clear" w:color="auto" w:fill="FFFFFF"/>
          <w:lang w:val="en-US" w:eastAsia="zh-CN"/>
        </w:rPr>
      </w:pP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5205730" cy="3470910"/>
            <wp:effectExtent l="0" t="0" r="13970" b="15240"/>
            <wp:docPr id="10" name="图片 10" descr="036A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36A9287"/>
                    <pic:cNvPicPr>
                      <a:picLocks noChangeAspect="1"/>
                    </pic:cNvPicPr>
                  </pic:nvPicPr>
                  <pic:blipFill>
                    <a:blip r:embed="rId13"/>
                    <a:stretch>
                      <a:fillRect/>
                    </a:stretch>
                  </pic:blipFill>
                  <pic:spPr>
                    <a:xfrm>
                      <a:off x="0" y="0"/>
                      <a:ext cx="5205730" cy="3470910"/>
                    </a:xfrm>
                    <a:prstGeom prst="rect">
                      <a:avLst/>
                    </a:prstGeom>
                  </pic:spPr>
                </pic:pic>
              </a:graphicData>
            </a:graphic>
          </wp:inline>
        </w:drawing>
      </w:r>
    </w:p>
    <w:p>
      <w:pPr>
        <w:pStyle w:val="1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4160" w:firstLineChars="1300"/>
        <w:textAlignment w:val="auto"/>
        <w:rPr>
          <w:rFonts w:hint="eastAsia" w:ascii="黑体" w:hAnsi="黑体" w:eastAsia="黑体" w:cs="黑体"/>
          <w:b w:val="0"/>
          <w:i w:val="0"/>
          <w:caps w:val="0"/>
          <w:spacing w:val="0"/>
          <w:w w:val="100"/>
          <w:sz w:val="32"/>
          <w:szCs w:val="32"/>
          <w:lang w:val="en-US" w:eastAsia="zh-CN"/>
        </w:rPr>
      </w:pPr>
      <w:r>
        <w:rPr>
          <w:rFonts w:hint="eastAsia" w:ascii="仿宋_GB2312" w:hAnsi="仿宋" w:eastAsia="仿宋_GB2312" w:cs="仿宋"/>
          <w:bCs/>
          <w:sz w:val="32"/>
          <w:szCs w:val="32"/>
          <w:lang w:val="en-US" w:eastAsia="zh-CN"/>
        </w:rPr>
        <w:t xml:space="preserve"> </w:t>
      </w:r>
      <w:r>
        <w:rPr>
          <w:rFonts w:hint="eastAsia" w:ascii="仿宋" w:hAnsi="仿宋" w:eastAsia="仿宋" w:cs="仿宋"/>
          <w:i w:val="0"/>
          <w:iCs w:val="0"/>
          <w:caps w:val="0"/>
          <w:color w:val="000000"/>
          <w:spacing w:val="8"/>
          <w:sz w:val="32"/>
          <w:szCs w:val="32"/>
          <w:shd w:val="clear" w:color="auto" w:fill="FFFFFF"/>
          <w:lang w:val="en-US" w:eastAsia="zh-CN"/>
        </w:rPr>
        <w:t>（供稿人 郭娟）</w:t>
      </w:r>
    </w:p>
    <w:p>
      <w:pPr>
        <w:keepLines w:val="0"/>
        <w:widowControl w:val="0"/>
        <w:snapToGrid/>
        <w:spacing w:before="0" w:beforeAutospacing="0" w:after="0" w:afterAutospacing="0" w:line="560" w:lineRule="exact"/>
        <w:jc w:val="center"/>
        <w:textAlignment w:val="baseline"/>
        <w:rPr>
          <w:rFonts w:hint="eastAsia" w:ascii="黑体" w:hAnsi="黑体" w:eastAsia="黑体" w:cs="黑体"/>
          <w:b w:val="0"/>
          <w:i w:val="0"/>
          <w:caps w:val="0"/>
          <w:spacing w:val="0"/>
          <w:w w:val="100"/>
          <w:sz w:val="32"/>
          <w:szCs w:val="32"/>
          <w:lang w:val="en-US" w:eastAsia="zh-CN"/>
        </w:rPr>
      </w:pPr>
    </w:p>
    <w:p>
      <w:pPr>
        <w:keepLines w:val="0"/>
        <w:widowControl w:val="0"/>
        <w:snapToGrid/>
        <w:spacing w:before="0" w:beforeAutospacing="0" w:after="0" w:afterAutospacing="0" w:line="560" w:lineRule="exact"/>
        <w:jc w:val="center"/>
        <w:textAlignment w:val="baseline"/>
        <w:rPr>
          <w:rFonts w:hint="eastAsia" w:ascii="黑体" w:hAnsi="黑体" w:eastAsia="黑体" w:cs="黑体"/>
          <w:b w:val="0"/>
          <w:i w:val="0"/>
          <w:caps w:val="0"/>
          <w:spacing w:val="0"/>
          <w:w w:val="100"/>
          <w:sz w:val="32"/>
          <w:szCs w:val="32"/>
          <w:lang w:val="en-US" w:eastAsia="zh-CN"/>
        </w:rPr>
      </w:pPr>
      <w:r>
        <w:rPr>
          <w:rFonts w:hint="eastAsia" w:ascii="黑体" w:hAnsi="黑体" w:eastAsia="黑体" w:cs="黑体"/>
          <w:b w:val="0"/>
          <w:i w:val="0"/>
          <w:caps w:val="0"/>
          <w:spacing w:val="0"/>
          <w:w w:val="100"/>
          <w:sz w:val="32"/>
          <w:szCs w:val="32"/>
          <w:lang w:val="en-US" w:eastAsia="zh-CN"/>
        </w:rPr>
        <w:t>同一冠字号码假币多次出现！看乌拉特中旗联社</w:t>
      </w:r>
    </w:p>
    <w:p>
      <w:pPr>
        <w:keepLines w:val="0"/>
        <w:widowControl w:val="0"/>
        <w:snapToGrid/>
        <w:spacing w:before="0" w:beforeAutospacing="0" w:after="0" w:afterAutospacing="0" w:line="560" w:lineRule="exact"/>
        <w:jc w:val="center"/>
        <w:textAlignment w:val="baseline"/>
        <w:rPr>
          <w:rFonts w:hint="eastAsia" w:ascii="黑体" w:hAnsi="黑体" w:eastAsia="黑体" w:cs="黑体"/>
          <w:b w:val="0"/>
          <w:i w:val="0"/>
          <w:caps w:val="0"/>
          <w:spacing w:val="0"/>
          <w:w w:val="100"/>
          <w:sz w:val="32"/>
          <w:szCs w:val="32"/>
          <w:lang w:val="en-US" w:eastAsia="zh-CN"/>
        </w:rPr>
      </w:pPr>
      <w:r>
        <w:rPr>
          <w:rFonts w:hint="eastAsia" w:ascii="黑体" w:hAnsi="黑体" w:eastAsia="黑体" w:cs="黑体"/>
          <w:b w:val="0"/>
          <w:i w:val="0"/>
          <w:caps w:val="0"/>
          <w:spacing w:val="0"/>
          <w:w w:val="100"/>
          <w:sz w:val="32"/>
          <w:szCs w:val="32"/>
          <w:lang w:val="en-US" w:eastAsia="zh-CN"/>
        </w:rPr>
        <w:t>教科书式应对措施</w:t>
      </w:r>
    </w:p>
    <w:p>
      <w:pPr>
        <w:pStyle w:val="19"/>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0" w:firstLineChars="200"/>
        <w:jc w:val="both"/>
        <w:textAlignment w:val="baseline"/>
        <w:rPr>
          <w:rFonts w:hint="eastAsia" w:ascii="仿宋_GB2312" w:hAnsi="仿宋_GB2312" w:eastAsia="仿宋_GB2312" w:cs="仿宋_GB2312"/>
          <w:b w:val="0"/>
          <w:i w:val="0"/>
          <w:caps w:val="0"/>
          <w:spacing w:val="0"/>
          <w:w w:val="100"/>
          <w:sz w:val="32"/>
          <w:szCs w:val="32"/>
          <w:lang w:val="en-US" w:eastAsia="zh-CN"/>
        </w:rPr>
      </w:pPr>
      <w:r>
        <w:rPr>
          <w:rFonts w:hint="eastAsia" w:ascii="仿宋_GB2312" w:hAnsi="仿宋_GB2312" w:eastAsia="仿宋_GB2312" w:cs="仿宋_GB2312"/>
          <w:b w:val="0"/>
          <w:i w:val="0"/>
          <w:caps w:val="0"/>
          <w:spacing w:val="0"/>
          <w:w w:val="100"/>
          <w:sz w:val="32"/>
          <w:szCs w:val="40"/>
          <w:lang w:val="en-US" w:eastAsia="zh-CN"/>
        </w:rPr>
        <w:t>近期，乌拉特中旗联社多个营业网点在办理业务过程中收缴到多张同一冠字号码的假币，</w:t>
      </w:r>
      <w:r>
        <w:rPr>
          <w:rFonts w:hint="eastAsia" w:ascii="仿宋_GB2312" w:hAnsi="仿宋_GB2312" w:eastAsia="仿宋_GB2312" w:cs="仿宋_GB2312"/>
          <w:b w:val="0"/>
          <w:i w:val="0"/>
          <w:caps w:val="0"/>
          <w:spacing w:val="0"/>
          <w:w w:val="100"/>
          <w:sz w:val="32"/>
          <w:szCs w:val="32"/>
          <w:lang w:val="en-US" w:eastAsia="zh-CN"/>
        </w:rPr>
        <w:t>冠字号码为“G6B4228759”的假币出现后，联社各岗位、部门立即启动应急机制，有序开展假币鉴别、收缴、报告、宣传等一系列工作，有效保障辖内金融环境安全。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3" w:firstLineChars="200"/>
        <w:jc w:val="both"/>
        <w:textAlignment w:val="baseline"/>
        <w:rPr>
          <w:rFonts w:hint="eastAsia" w:ascii="仿宋_GB2312" w:hAnsi="仿宋_GB2312" w:eastAsia="仿宋_GB2312" w:cs="仿宋_GB2312"/>
          <w:b w:val="0"/>
          <w:i w:val="0"/>
          <w:caps w:val="0"/>
          <w:spacing w:val="0"/>
          <w:w w:val="100"/>
          <w:sz w:val="32"/>
          <w:szCs w:val="32"/>
          <w:lang w:val="en-US" w:eastAsia="zh-CN"/>
        </w:rPr>
      </w:pPr>
      <w:r>
        <w:rPr>
          <w:rFonts w:hint="eastAsia" w:ascii="仿宋_GB2312" w:hAnsi="仿宋_GB2312" w:eastAsia="仿宋_GB2312" w:cs="仿宋_GB2312"/>
          <w:b/>
          <w:bCs/>
          <w:i w:val="0"/>
          <w:caps w:val="0"/>
          <w:spacing w:val="0"/>
          <w:w w:val="100"/>
          <w:sz w:val="32"/>
          <w:szCs w:val="32"/>
          <w:lang w:val="en-US" w:eastAsia="zh-CN"/>
        </w:rPr>
        <w:t>柜员守好一道防线，有序开展应急措施。</w:t>
      </w:r>
      <w:r>
        <w:rPr>
          <w:rFonts w:hint="eastAsia" w:ascii="仿宋_GB2312" w:hAnsi="仿宋_GB2312" w:eastAsia="仿宋_GB2312" w:cs="仿宋_GB2312"/>
          <w:b w:val="0"/>
          <w:i w:val="0"/>
          <w:caps w:val="0"/>
          <w:spacing w:val="0"/>
          <w:w w:val="100"/>
          <w:sz w:val="32"/>
          <w:szCs w:val="32"/>
          <w:lang w:val="en-US" w:eastAsia="zh-CN"/>
        </w:rPr>
        <w:t>当值柜员收到假币后，严格按照假币收缴流程，双人临柜盖章收缴，并安抚客户情绪，做好解释说明工作，向客户讲解假币鉴别方法。收缴后，第一时间通知全体基层人员，提高警惕、防范假币，同时向联社假币管理部门汇报情况，完成假币收缴一系列应急措施。</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3" w:firstLineChars="200"/>
        <w:jc w:val="both"/>
        <w:textAlignment w:val="baseline"/>
        <w:rPr>
          <w:rFonts w:hint="eastAsia" w:ascii="仿宋_GB2312" w:hAnsi="仿宋_GB2312" w:eastAsia="仿宋_GB2312" w:cs="仿宋_GB2312"/>
          <w:b w:val="0"/>
          <w:i w:val="0"/>
          <w:caps w:val="0"/>
          <w:spacing w:val="0"/>
          <w:w w:val="100"/>
          <w:sz w:val="32"/>
          <w:szCs w:val="32"/>
          <w:lang w:val="en-US" w:eastAsia="zh-CN"/>
        </w:rPr>
      </w:pPr>
      <w:r>
        <w:rPr>
          <w:rFonts w:hint="eastAsia" w:ascii="仿宋_GB2312" w:hAnsi="仿宋_GB2312" w:eastAsia="仿宋_GB2312" w:cs="仿宋_GB2312"/>
          <w:b/>
          <w:bCs/>
          <w:i w:val="0"/>
          <w:caps w:val="0"/>
          <w:spacing w:val="0"/>
          <w:w w:val="100"/>
          <w:sz w:val="32"/>
          <w:szCs w:val="32"/>
          <w:lang w:val="en-US" w:eastAsia="zh-CN"/>
        </w:rPr>
        <w:t>基层人员提高警惕，责任部门迅速反映。</w:t>
      </w:r>
      <w:r>
        <w:rPr>
          <w:rFonts w:hint="eastAsia" w:ascii="仿宋_GB2312" w:hAnsi="仿宋_GB2312" w:eastAsia="仿宋_GB2312" w:cs="仿宋_GB2312"/>
          <w:b w:val="0"/>
          <w:i w:val="0"/>
          <w:caps w:val="0"/>
          <w:spacing w:val="0"/>
          <w:w w:val="100"/>
          <w:sz w:val="32"/>
          <w:szCs w:val="32"/>
          <w:lang w:val="en-US" w:eastAsia="zh-CN"/>
        </w:rPr>
        <w:t>接到通知后，各营业网点提高警惕，在短时间内，成功收缴同一冠字号码共7张假币。大量假币的集中出现引起联社党委的高度重视，责任部门迅速将假币特征、收缴时间、收缴地区、客户群体等信息收集整理，向中旗人民银行报告，人民银行收集充足证据后，向当地公安局报案，立案侦查制假货币团伙，净化乌拉特中旗辖区资金环境。</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3" w:firstLineChars="200"/>
        <w:jc w:val="both"/>
        <w:textAlignment w:val="baseline"/>
        <w:rPr>
          <w:rFonts w:hint="eastAsia" w:ascii="仿宋_GB2312" w:hAnsi="仿宋_GB2312" w:eastAsia="仿宋_GB2312" w:cs="仿宋_GB2312"/>
          <w:b w:val="0"/>
          <w:i w:val="0"/>
          <w:caps w:val="0"/>
          <w:spacing w:val="0"/>
          <w:w w:val="100"/>
          <w:sz w:val="32"/>
          <w:szCs w:val="32"/>
          <w:lang w:val="en-US" w:eastAsia="zh-CN"/>
        </w:rPr>
      </w:pPr>
      <w:r>
        <w:rPr>
          <w:rFonts w:hint="eastAsia" w:ascii="仿宋_GB2312" w:hAnsi="仿宋_GB2312" w:eastAsia="仿宋_GB2312" w:cs="仿宋_GB2312"/>
          <w:b/>
          <w:bCs/>
          <w:i w:val="0"/>
          <w:caps w:val="0"/>
          <w:spacing w:val="0"/>
          <w:w w:val="100"/>
          <w:sz w:val="32"/>
          <w:szCs w:val="32"/>
          <w:lang w:val="en-US" w:eastAsia="zh-CN"/>
        </w:rPr>
        <w:t>反假币宣传活动，提高群众防范意识。</w:t>
      </w:r>
      <w:r>
        <w:rPr>
          <w:rFonts w:hint="eastAsia" w:ascii="仿宋_GB2312" w:hAnsi="仿宋_GB2312" w:eastAsia="仿宋_GB2312" w:cs="仿宋_GB2312"/>
          <w:b w:val="0"/>
          <w:i w:val="0"/>
          <w:caps w:val="0"/>
          <w:spacing w:val="0"/>
          <w:w w:val="100"/>
          <w:sz w:val="32"/>
          <w:szCs w:val="32"/>
          <w:lang w:val="en-US" w:eastAsia="zh-CN"/>
        </w:rPr>
        <w:t>针对假币频繁出现的情况，中旗联社组织各基层社开展反假币集中宣传活动，特别对现金交易量大的商户、超市管理人员、反假币意识不强的老年群体进行一对一假币鉴别培训，确保短时间内宣传普及覆盖全辖，群众反假币意识与能力大幅度提高，共组织反假币宣传25次，发放宣传折页2000余张，制作反假币宣传视频3个，公众号宣传6期，讲解宣传40余次，惠及人群3000余人。</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0" w:firstLineChars="200"/>
        <w:jc w:val="both"/>
        <w:textAlignment w:val="baseline"/>
        <w:rPr>
          <w:rFonts w:hint="eastAsia" w:ascii="仿宋_GB2312" w:hAnsi="仿宋_GB2312" w:eastAsia="仿宋_GB2312" w:cs="仿宋_GB2312"/>
          <w:b w:val="0"/>
          <w:i w:val="0"/>
          <w:caps w:val="0"/>
          <w:spacing w:val="0"/>
          <w:w w:val="100"/>
          <w:sz w:val="32"/>
          <w:szCs w:val="32"/>
          <w:lang w:val="en-US" w:eastAsia="zh-CN"/>
        </w:rPr>
      </w:pPr>
      <w:r>
        <w:rPr>
          <w:rFonts w:hint="eastAsia" w:ascii="仿宋_GB2312" w:hAnsi="仿宋_GB2312" w:eastAsia="仿宋_GB2312" w:cs="仿宋_GB2312"/>
          <w:b w:val="0"/>
          <w:i w:val="0"/>
          <w:caps w:val="0"/>
          <w:spacing w:val="0"/>
          <w:w w:val="100"/>
          <w:sz w:val="32"/>
          <w:szCs w:val="32"/>
          <w:lang w:val="en-US" w:eastAsia="zh-CN"/>
        </w:rPr>
        <w:t>此次假币收缴工作是对中旗联社反假货币工作的一次实战大练兵，收缴、解释、汇报、宣传等一系列工作的有序开展保护了辖内金融环境稳定，维护了客户群众切身利益。下一步，联社将持续开展反假货币培训工作，提高全社员工反假意识、鉴别能力以及应急处置水平，为提升辖域资金安全贡献力量。</w:t>
      </w:r>
    </w:p>
    <w:p>
      <w:pPr>
        <w:keepLines w:val="0"/>
        <w:widowControl w:val="0"/>
        <w:snapToGrid/>
        <w:spacing w:before="0" w:beforeAutospacing="0" w:after="0" w:afterAutospacing="0" w:line="560" w:lineRule="exact"/>
        <w:ind w:firstLine="5120" w:firstLineChars="1600"/>
        <w:jc w:val="both"/>
        <w:textAlignment w:val="baseline"/>
        <w:rPr>
          <w:rFonts w:hint="eastAsia"/>
          <w:lang w:eastAsia="zh-CN"/>
        </w:rPr>
      </w:pPr>
      <w:r>
        <w:rPr>
          <w:rFonts w:hint="eastAsia" w:ascii="仿宋_GB2312" w:hAnsi="仿宋_GB2312" w:eastAsia="仿宋_GB2312" w:cs="仿宋_GB2312"/>
          <w:b w:val="0"/>
          <w:i w:val="0"/>
          <w:caps w:val="0"/>
          <w:spacing w:val="0"/>
          <w:w w:val="100"/>
          <w:sz w:val="32"/>
          <w:szCs w:val="32"/>
          <w:lang w:val="en-US" w:eastAsia="zh-CN"/>
        </w:rPr>
        <w:t>（王馨毓  供稿）</w:t>
      </w:r>
    </w:p>
    <w:p>
      <w:pPr>
        <w:keepNext w:val="0"/>
        <w:keepLines w:val="0"/>
        <w:pageBreakBefore w:val="0"/>
        <w:kinsoku/>
        <w:wordWrap/>
        <w:overflowPunct/>
        <w:topLinePunct w:val="0"/>
        <w:autoSpaceDE/>
        <w:autoSpaceDN/>
        <w:bidi w:val="0"/>
        <w:adjustRightInd/>
        <w:snapToGrid/>
        <w:spacing w:line="580" w:lineRule="exact"/>
        <w:jc w:val="center"/>
        <w:textAlignment w:val="auto"/>
        <w:outlineLvl w:val="9"/>
        <w:rPr>
          <w:rFonts w:hint="eastAsia" w:ascii="黑体" w:hAnsi="黑体" w:eastAsia="黑体" w:cs="黑体"/>
          <w:b w:val="0"/>
          <w:bCs w:val="0"/>
          <w:i w:val="0"/>
          <w:iCs w:val="0"/>
          <w:caps w:val="0"/>
          <w:color w:val="333333"/>
          <w:spacing w:val="0"/>
          <w:sz w:val="32"/>
          <w:szCs w:val="32"/>
          <w:shd w:val="clear" w:color="auto" w:fill="auto"/>
          <w:lang w:eastAsia="zh-CN"/>
        </w:rPr>
      </w:pPr>
      <w:r>
        <w:rPr>
          <w:rFonts w:hint="eastAsia" w:ascii="黑体" w:hAnsi="黑体" w:eastAsia="黑体" w:cs="黑体"/>
          <w:b w:val="0"/>
          <w:bCs w:val="0"/>
          <w:i w:val="0"/>
          <w:iCs w:val="0"/>
          <w:caps w:val="0"/>
          <w:color w:val="333333"/>
          <w:spacing w:val="0"/>
          <w:sz w:val="32"/>
          <w:szCs w:val="32"/>
          <w:shd w:val="clear" w:color="auto" w:fill="auto"/>
          <w:lang w:eastAsia="zh-CN"/>
        </w:rPr>
        <w:t>德岭山信用社联合党支部</w:t>
      </w:r>
      <w:r>
        <w:rPr>
          <w:rFonts w:hint="eastAsia" w:ascii="黑体" w:hAnsi="黑体" w:eastAsia="黑体" w:cs="黑体"/>
          <w:b w:val="0"/>
          <w:bCs w:val="0"/>
          <w:i w:val="0"/>
          <w:iCs w:val="0"/>
          <w:caps w:val="0"/>
          <w:color w:val="333333"/>
          <w:spacing w:val="0"/>
          <w:sz w:val="32"/>
          <w:szCs w:val="32"/>
          <w:shd w:val="clear" w:color="auto" w:fill="auto"/>
        </w:rPr>
        <w:t>与</w:t>
      </w:r>
      <w:r>
        <w:rPr>
          <w:rFonts w:hint="eastAsia" w:ascii="黑体" w:hAnsi="黑体" w:eastAsia="黑体" w:cs="黑体"/>
          <w:b w:val="0"/>
          <w:bCs w:val="0"/>
          <w:i w:val="0"/>
          <w:iCs w:val="0"/>
          <w:caps w:val="0"/>
          <w:color w:val="333333"/>
          <w:spacing w:val="0"/>
          <w:sz w:val="32"/>
          <w:szCs w:val="32"/>
          <w:shd w:val="clear" w:color="auto" w:fill="auto"/>
          <w:lang w:eastAsia="zh-CN"/>
        </w:rPr>
        <w:t>邦联农牧专业</w:t>
      </w:r>
    </w:p>
    <w:p>
      <w:pPr>
        <w:keepNext w:val="0"/>
        <w:keepLines w:val="0"/>
        <w:pageBreakBefore w:val="0"/>
        <w:kinsoku/>
        <w:wordWrap/>
        <w:overflowPunct/>
        <w:topLinePunct w:val="0"/>
        <w:autoSpaceDE/>
        <w:autoSpaceDN/>
        <w:bidi w:val="0"/>
        <w:adjustRightInd/>
        <w:snapToGrid/>
        <w:spacing w:line="580" w:lineRule="exact"/>
        <w:jc w:val="center"/>
        <w:textAlignment w:val="auto"/>
        <w:outlineLvl w:val="9"/>
        <w:rPr>
          <w:rFonts w:hint="eastAsia" w:ascii="黑体" w:hAnsi="黑体" w:eastAsia="黑体" w:cs="黑体"/>
          <w:b w:val="0"/>
          <w:bCs w:val="0"/>
          <w:i w:val="0"/>
          <w:iCs w:val="0"/>
          <w:caps w:val="0"/>
          <w:color w:val="333333"/>
          <w:spacing w:val="0"/>
          <w:sz w:val="32"/>
          <w:szCs w:val="32"/>
          <w:shd w:val="clear" w:color="auto" w:fill="auto"/>
          <w:lang w:eastAsia="zh-CN"/>
        </w:rPr>
      </w:pPr>
      <w:r>
        <w:rPr>
          <w:rFonts w:hint="eastAsia" w:ascii="黑体" w:hAnsi="黑体" w:eastAsia="黑体" w:cs="黑体"/>
          <w:b w:val="0"/>
          <w:bCs w:val="0"/>
          <w:i w:val="0"/>
          <w:iCs w:val="0"/>
          <w:caps w:val="0"/>
          <w:color w:val="333333"/>
          <w:spacing w:val="0"/>
          <w:sz w:val="32"/>
          <w:szCs w:val="32"/>
          <w:shd w:val="clear" w:color="auto" w:fill="auto"/>
          <w:lang w:eastAsia="zh-CN"/>
        </w:rPr>
        <w:t>合作社签订战略合作协议</w:t>
      </w:r>
    </w:p>
    <w:p>
      <w:pPr>
        <w:pStyle w:val="19"/>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近期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德岭山信用社联合党支部</w:t>
      </w:r>
      <w:r>
        <w:rPr>
          <w:rFonts w:hint="eastAsia" w:ascii="仿宋_GB2312" w:hAnsi="仿宋_GB2312" w:eastAsia="仿宋_GB2312" w:cs="仿宋_GB2312"/>
          <w:sz w:val="32"/>
          <w:szCs w:val="32"/>
        </w:rPr>
        <w:t>与</w:t>
      </w:r>
      <w:r>
        <w:rPr>
          <w:rFonts w:hint="eastAsia" w:ascii="仿宋_GB2312" w:hAnsi="仿宋_GB2312" w:eastAsia="仿宋_GB2312" w:cs="仿宋_GB2312"/>
          <w:sz w:val="32"/>
          <w:szCs w:val="32"/>
          <w:lang w:eastAsia="zh-CN"/>
        </w:rPr>
        <w:t>乌拉特中旗邦联农牧专业合作社签订了鸿雁阵线联盟战略合作协议，</w:t>
      </w:r>
      <w:r>
        <w:rPr>
          <w:rFonts w:hint="eastAsia" w:ascii="仿宋_GB2312" w:hAnsi="仿宋_GB2312" w:eastAsia="仿宋_GB2312" w:cs="仿宋_GB2312"/>
          <w:sz w:val="32"/>
          <w:szCs w:val="32"/>
          <w:lang w:val="en-US" w:eastAsia="zh-CN"/>
        </w:rPr>
        <w:t>构建了新型银企合作模式，为辖内经济发展注入活泉</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_GB2312" w:hAnsi="仿宋_GB2312" w:eastAsia="仿宋_GB2312" w:cs="仿宋_GB2312"/>
          <w:i w:val="0"/>
          <w:iCs w:val="0"/>
          <w:caps w:val="0"/>
          <w:color w:val="333333"/>
          <w:spacing w:val="0"/>
          <w:sz w:val="32"/>
          <w:szCs w:val="32"/>
          <w:shd w:val="clear" w:fill="FFFFFF"/>
          <w:lang w:eastAsia="zh-CN"/>
        </w:rPr>
      </w:pPr>
      <w:r>
        <w:rPr>
          <w:rFonts w:hint="eastAsia" w:ascii="仿宋_GB2312" w:hAnsi="仿宋_GB2312" w:eastAsia="仿宋_GB2312" w:cs="仿宋_GB2312"/>
          <w:sz w:val="32"/>
          <w:szCs w:val="32"/>
          <w:lang w:val="en-US" w:eastAsia="zh-CN"/>
        </w:rPr>
        <w:t>签订协议后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双方</w:t>
      </w:r>
      <w:r>
        <w:rPr>
          <w:rFonts w:hint="eastAsia" w:ascii="仿宋_GB2312" w:hAnsi="仿宋_GB2312" w:eastAsia="仿宋_GB2312" w:cs="仿宋_GB2312"/>
          <w:sz w:val="32"/>
          <w:szCs w:val="32"/>
          <w:lang w:val="en-US" w:eastAsia="zh-CN"/>
        </w:rPr>
        <w:t>将</w:t>
      </w:r>
      <w:r>
        <w:rPr>
          <w:rFonts w:hint="eastAsia" w:ascii="仿宋_GB2312" w:hAnsi="仿宋_GB2312" w:eastAsia="仿宋_GB2312" w:cs="仿宋_GB2312"/>
          <w:sz w:val="32"/>
          <w:szCs w:val="32"/>
        </w:rPr>
        <w:t>围绕巩固拓展</w:t>
      </w:r>
      <w:r>
        <w:rPr>
          <w:rFonts w:hint="eastAsia" w:ascii="仿宋_GB2312" w:hAnsi="仿宋_GB2312" w:eastAsia="仿宋_GB2312" w:cs="仿宋_GB2312"/>
          <w:sz w:val="32"/>
          <w:szCs w:val="32"/>
          <w:lang w:eastAsia="zh-CN"/>
        </w:rPr>
        <w:t>脱贫攻坚</w:t>
      </w:r>
      <w:r>
        <w:rPr>
          <w:rFonts w:hint="eastAsia" w:ascii="仿宋_GB2312" w:hAnsi="仿宋_GB2312" w:eastAsia="仿宋_GB2312" w:cs="仿宋_GB2312"/>
          <w:sz w:val="32"/>
          <w:szCs w:val="32"/>
        </w:rPr>
        <w:t>成果同乡村振兴有效衔接、农业农村现代化、深化丰富新时代“五带二建”全域富民机制</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sz w:val="32"/>
          <w:szCs w:val="32"/>
        </w:rPr>
        <w:t>党风廉政建设、持续优化营商环境等重点工作</w:t>
      </w:r>
      <w:r>
        <w:rPr>
          <w:rFonts w:hint="eastAsia" w:ascii="仿宋_GB2312" w:hAnsi="仿宋_GB2312" w:eastAsia="仿宋_GB2312" w:cs="仿宋_GB2312"/>
          <w:sz w:val="32"/>
          <w:szCs w:val="32"/>
          <w:lang w:val="en-US" w:eastAsia="zh-CN"/>
        </w:rPr>
        <w:t>进行深入交流</w:t>
      </w:r>
      <w:r>
        <w:rPr>
          <w:rFonts w:hint="eastAsia" w:ascii="仿宋_GB2312" w:hAnsi="仿宋_GB2312" w:eastAsia="仿宋_GB2312" w:cs="仿宋_GB2312"/>
          <w:sz w:val="32"/>
          <w:szCs w:val="32"/>
        </w:rPr>
        <w:t>,构建更加紧密、相互信任、不断发展的银政战略合作关系,形成“金融+党政”的战略发展联盟,</w:t>
      </w:r>
      <w:r>
        <w:rPr>
          <w:rFonts w:hint="eastAsia" w:ascii="仿宋_GB2312" w:hAnsi="仿宋_GB2312" w:eastAsia="仿宋_GB2312" w:cs="仿宋_GB2312"/>
          <w:sz w:val="32"/>
          <w:szCs w:val="32"/>
          <w:lang w:eastAsia="zh-CN"/>
        </w:rPr>
        <w:t>以“微利育牛贷”产品为基础，采取信用社主导、村委支持、群众参与的产业发展模式与产品推广合作方式，共同推进牧业品种培优，品质提升、品牌打造和标准化生产，</w:t>
      </w:r>
      <w:r>
        <w:rPr>
          <w:rFonts w:hint="eastAsia" w:ascii="仿宋_GB2312" w:hAnsi="仿宋_GB2312" w:eastAsia="仿宋_GB2312" w:cs="仿宋_GB2312"/>
          <w:sz w:val="32"/>
          <w:szCs w:val="32"/>
          <w:lang w:val="en-US" w:eastAsia="zh-CN"/>
        </w:rPr>
        <w:t>以</w:t>
      </w:r>
      <w:r>
        <w:rPr>
          <w:rFonts w:hint="eastAsia" w:ascii="仿宋_GB2312" w:hAnsi="仿宋_GB2312" w:eastAsia="仿宋_GB2312" w:cs="仿宋_GB2312"/>
          <w:sz w:val="32"/>
          <w:szCs w:val="32"/>
          <w:lang w:eastAsia="zh-CN"/>
        </w:rPr>
        <w:t>“家庭牧场”带动畜牧产品和加工营销能力不断提升，促进牧业高质高效、农民富裕富足，在新时代新征程开创苏独仑嘎查发展新局面。</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支部书记王琼指出，支部</w:t>
      </w:r>
      <w:r>
        <w:rPr>
          <w:rFonts w:hint="eastAsia" w:ascii="仿宋_GB2312" w:hAnsi="仿宋_GB2312" w:eastAsia="仿宋_GB2312" w:cs="仿宋_GB2312"/>
          <w:sz w:val="32"/>
          <w:szCs w:val="32"/>
          <w:lang w:val="en-US" w:eastAsia="zh-CN"/>
        </w:rPr>
        <w:t>在联社党委的正确领导下，紧紧围绕“乡村振兴”</w:t>
      </w:r>
      <w:r>
        <w:rPr>
          <w:rFonts w:hint="eastAsia" w:ascii="仿宋_GB2312" w:hAnsi="仿宋_GB2312" w:eastAsia="仿宋_GB2312" w:cs="仿宋_GB2312"/>
          <w:sz w:val="32"/>
          <w:szCs w:val="32"/>
          <w:lang w:eastAsia="zh-CN"/>
        </w:rPr>
        <w:t>，立足当地，坚持服务三农三牧、实体经济，以其稳健的经营、优质的服务、创新的产品和丰富的经验赢得了广大农牧户的信赖。苏独仑嘎查支书对</w:t>
      </w:r>
      <w:r>
        <w:rPr>
          <w:rFonts w:hint="eastAsia" w:ascii="仿宋_GB2312" w:hAnsi="仿宋_GB2312" w:eastAsia="仿宋_GB2312" w:cs="仿宋_GB2312"/>
          <w:sz w:val="32"/>
          <w:szCs w:val="32"/>
          <w:lang w:val="en-US" w:eastAsia="zh-CN"/>
        </w:rPr>
        <w:t>联社</w:t>
      </w:r>
      <w:r>
        <w:rPr>
          <w:rFonts w:hint="eastAsia" w:ascii="仿宋_GB2312" w:hAnsi="仿宋_GB2312" w:eastAsia="仿宋_GB2312" w:cs="仿宋_GB2312"/>
          <w:sz w:val="32"/>
          <w:szCs w:val="32"/>
          <w:lang w:eastAsia="zh-CN"/>
        </w:rPr>
        <w:t>的信贷支持及服务给予了肯定，</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lang w:eastAsia="zh-CN"/>
        </w:rPr>
        <w:t>介绍了苏独仑</w:t>
      </w:r>
      <w:r>
        <w:rPr>
          <w:rFonts w:hint="eastAsia" w:ascii="仿宋_GB2312" w:hAnsi="仿宋_GB2312" w:eastAsia="仿宋_GB2312" w:cs="仿宋_GB2312"/>
          <w:sz w:val="32"/>
          <w:szCs w:val="32"/>
          <w:lang w:val="en-US" w:eastAsia="zh-CN"/>
        </w:rPr>
        <w:t xml:space="preserve">农牧业产业发展五年规划，按照合作发展思路，联社将在充分调研的前提下为辖区符合条件的种养殖户及小微企业提供优质金融服务、满足实体经济发展。           </w:t>
      </w:r>
    </w:p>
    <w:p>
      <w:pPr>
        <w:keepNext w:val="0"/>
        <w:keepLines w:val="0"/>
        <w:pageBreakBefore w:val="0"/>
        <w:widowControl w:val="0"/>
        <w:kinsoku/>
        <w:wordWrap/>
        <w:overflowPunct/>
        <w:topLinePunct w:val="0"/>
        <w:autoSpaceDE/>
        <w:autoSpaceDN/>
        <w:bidi w:val="0"/>
        <w:adjustRightInd/>
        <w:snapToGrid/>
        <w:spacing w:line="240" w:lineRule="auto"/>
        <w:ind w:firstLine="5120" w:firstLineChars="1600"/>
        <w:textAlignment w:val="auto"/>
        <w:outlineLvl w:val="9"/>
        <w:rPr>
          <w:rFonts w:hint="eastAsia" w:ascii="仿宋_GB2312" w:hAnsi="仿宋" w:eastAsia="仿宋_GB2312" w:cs="仿宋"/>
          <w:bCs/>
          <w:sz w:val="32"/>
          <w:szCs w:val="32"/>
          <w:lang w:val="en-US" w:eastAsia="zh-CN"/>
        </w:rPr>
      </w:pPr>
      <w:r>
        <w:rPr>
          <w:rFonts w:hint="eastAsia" w:ascii="仿宋_GB2312" w:hAnsi="仿宋_GB2312" w:eastAsia="仿宋_GB2312" w:cs="仿宋_GB2312"/>
          <w:sz w:val="32"/>
          <w:szCs w:val="32"/>
          <w:lang w:val="en-US" w:eastAsia="zh-CN"/>
        </w:rPr>
        <w:t>（张科 供稿）</w:t>
      </w:r>
    </w:p>
    <w:tbl>
      <w:tblPr>
        <w:tblStyle w:val="15"/>
        <w:tblpPr w:leftFromText="180" w:rightFromText="180" w:vertAnchor="text" w:horzAnchor="page" w:tblpX="1670" w:tblpY="1465"/>
        <w:tblOverlap w:val="never"/>
        <w:tblW w:w="866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8660" w:type="dxa"/>
            <w:tcBorders>
              <w:tl2br w:val="nil"/>
              <w:tr2bl w:val="nil"/>
            </w:tcBorders>
            <w:noWrap w:val="0"/>
            <w:vAlign w:val="top"/>
          </w:tcPr>
          <w:p>
            <w:pPr>
              <w:spacing w:line="500" w:lineRule="exact"/>
              <w:jc w:val="left"/>
              <w:rPr>
                <w:rFonts w:hint="eastAsia" w:ascii="仿宋" w:hAnsi="仿宋" w:eastAsia="仿宋" w:cs="仿宋"/>
                <w:spacing w:val="-20"/>
                <w:sz w:val="28"/>
                <w:szCs w:val="28"/>
              </w:rPr>
            </w:pPr>
            <w:r>
              <w:rPr>
                <w:rFonts w:hint="eastAsia" w:ascii="仿宋" w:hAnsi="仿宋" w:eastAsia="仿宋" w:cs="仿宋"/>
                <w:spacing w:val="-20"/>
                <w:sz w:val="28"/>
                <w:szCs w:val="28"/>
              </w:rPr>
              <w:t>发送范围：内蒙古银行业协会、巴彦淖尔市金融办、人行巴彦淖尔市中心支行、巴彦淖尔银</w:t>
            </w:r>
            <w:r>
              <w:rPr>
                <w:rFonts w:hint="eastAsia" w:ascii="仿宋" w:hAnsi="仿宋" w:eastAsia="仿宋" w:cs="仿宋"/>
                <w:spacing w:val="-20"/>
                <w:sz w:val="28"/>
                <w:szCs w:val="28"/>
                <w:lang w:eastAsia="zh-CN"/>
              </w:rPr>
              <w:t>保</w:t>
            </w:r>
            <w:r>
              <w:rPr>
                <w:rFonts w:hint="eastAsia" w:ascii="仿宋" w:hAnsi="仿宋" w:eastAsia="仿宋" w:cs="仿宋"/>
                <w:spacing w:val="-20"/>
                <w:sz w:val="28"/>
                <w:szCs w:val="28"/>
              </w:rPr>
              <w:t>监分局、各会员单位、会长、监事长、</w:t>
            </w:r>
            <w:r>
              <w:rPr>
                <w:rFonts w:hint="eastAsia" w:ascii="仿宋" w:hAnsi="仿宋" w:eastAsia="仿宋" w:cs="仿宋"/>
                <w:spacing w:val="-20"/>
                <w:sz w:val="28"/>
                <w:szCs w:val="28"/>
                <w:lang w:eastAsia="zh-CN"/>
              </w:rPr>
              <w:t>分局分管领导</w:t>
            </w:r>
            <w:r>
              <w:rPr>
                <w:rFonts w:hint="eastAsia" w:ascii="仿宋" w:hAnsi="仿宋" w:eastAsia="仿宋" w:cs="仿宋"/>
                <w:spacing w:val="-20"/>
                <w:sz w:val="28"/>
                <w:szCs w:val="28"/>
              </w:rPr>
              <w:t>、秘书处。</w:t>
            </w:r>
          </w:p>
          <w:p>
            <w:pPr>
              <w:jc w:val="left"/>
              <w:rPr>
                <w:rFonts w:hint="eastAsia" w:ascii="仿宋" w:hAnsi="仿宋" w:eastAsia="仿宋" w:cs="仿宋"/>
                <w:spacing w:val="-20"/>
                <w:sz w:val="28"/>
                <w:szCs w:val="28"/>
                <w:u w:val="none"/>
              </w:rPr>
            </w:pPr>
            <w:r>
              <w:rPr>
                <w:rFonts w:hint="eastAsia" w:ascii="仿宋" w:hAnsi="仿宋" w:eastAsia="仿宋" w:cs="仿宋"/>
                <w:spacing w:val="-20"/>
                <w:sz w:val="28"/>
                <w:szCs w:val="28"/>
                <w:u w:val="none"/>
              </w:rPr>
              <w:t>编辑：</w:t>
            </w:r>
            <w:r>
              <w:rPr>
                <w:rFonts w:hint="eastAsia" w:ascii="仿宋" w:hAnsi="仿宋" w:eastAsia="仿宋" w:cs="仿宋"/>
                <w:spacing w:val="-20"/>
                <w:sz w:val="28"/>
                <w:szCs w:val="28"/>
                <w:u w:val="none"/>
                <w:lang w:val="en-US" w:eastAsia="zh-CN"/>
              </w:rPr>
              <w:t xml:space="preserve">杨丽霞      </w:t>
            </w:r>
            <w:r>
              <w:rPr>
                <w:rFonts w:hint="eastAsia" w:ascii="仿宋" w:hAnsi="仿宋" w:eastAsia="仿宋" w:cs="仿宋"/>
                <w:spacing w:val="-20"/>
                <w:sz w:val="28"/>
                <w:szCs w:val="28"/>
                <w:u w:val="none"/>
              </w:rPr>
              <w:t xml:space="preserve">    </w:t>
            </w:r>
            <w:r>
              <w:rPr>
                <w:rFonts w:hint="eastAsia" w:ascii="仿宋" w:hAnsi="仿宋" w:eastAsia="仿宋" w:cs="仿宋"/>
                <w:spacing w:val="-20"/>
                <w:sz w:val="28"/>
                <w:szCs w:val="28"/>
                <w:u w:val="none"/>
                <w:lang w:val="en-US" w:eastAsia="zh-CN"/>
              </w:rPr>
              <w:t xml:space="preserve">    </w:t>
            </w:r>
            <w:r>
              <w:rPr>
                <w:rFonts w:hint="eastAsia" w:ascii="仿宋" w:hAnsi="仿宋" w:eastAsia="仿宋" w:cs="仿宋"/>
                <w:spacing w:val="-20"/>
                <w:sz w:val="28"/>
                <w:szCs w:val="28"/>
                <w:u w:val="none"/>
              </w:rPr>
              <w:t>联系电话</w:t>
            </w:r>
            <w:r>
              <w:rPr>
                <w:rFonts w:hint="eastAsia" w:ascii="仿宋" w:hAnsi="仿宋" w:eastAsia="仿宋" w:cs="仿宋"/>
                <w:spacing w:val="-20"/>
                <w:sz w:val="28"/>
                <w:szCs w:val="28"/>
                <w:u w:val="none"/>
                <w:lang w:eastAsia="zh-CN"/>
              </w:rPr>
              <w:t>：</w:t>
            </w:r>
            <w:r>
              <w:rPr>
                <w:rFonts w:hint="eastAsia" w:ascii="仿宋" w:hAnsi="仿宋" w:eastAsia="仿宋" w:cs="仿宋"/>
                <w:spacing w:val="-20"/>
                <w:sz w:val="28"/>
                <w:szCs w:val="28"/>
                <w:u w:val="none"/>
              </w:rPr>
              <w:t>0478-26703</w:t>
            </w:r>
            <w:r>
              <w:rPr>
                <w:rFonts w:hint="eastAsia" w:ascii="仿宋" w:hAnsi="仿宋" w:eastAsia="仿宋" w:cs="仿宋"/>
                <w:spacing w:val="-20"/>
                <w:sz w:val="28"/>
                <w:szCs w:val="28"/>
                <w:u w:val="none"/>
                <w:lang w:val="en-US" w:eastAsia="zh-CN"/>
              </w:rPr>
              <w:t>89</w:t>
            </w:r>
            <w:r>
              <w:rPr>
                <w:rFonts w:hint="eastAsia" w:ascii="仿宋" w:hAnsi="仿宋" w:eastAsia="仿宋" w:cs="仿宋"/>
                <w:spacing w:val="-20"/>
                <w:sz w:val="30"/>
                <w:szCs w:val="30"/>
                <w:u w:val="none"/>
              </w:rPr>
              <w:t xml:space="preserve">          </w:t>
            </w:r>
          </w:p>
        </w:tc>
      </w:tr>
    </w:tbl>
    <w:p>
      <w:pPr>
        <w:rPr>
          <w:rFonts w:hint="eastAsia" w:ascii="仿宋_GB2312" w:hAnsi="仿宋" w:eastAsia="仿宋_GB2312" w:cs="仿宋"/>
          <w:bCs/>
          <w:sz w:val="32"/>
          <w:szCs w:val="32"/>
          <w:lang w:val="en-US" w:eastAsia="zh-CN"/>
        </w:rPr>
      </w:pPr>
    </w:p>
    <w:p>
      <w:pPr>
        <w:pStyle w:val="19"/>
        <w:ind w:left="0" w:leftChars="0" w:firstLine="0" w:firstLineChars="0"/>
        <w:rPr>
          <w:rFonts w:hint="eastAsia"/>
          <w:lang w:eastAsia="zh-CN"/>
        </w:rPr>
      </w:pPr>
    </w:p>
    <w:p>
      <w:pPr>
        <w:rPr>
          <w:rFonts w:hint="eastAsia"/>
          <w:lang w:eastAsia="zh-CN"/>
        </w:rPr>
      </w:pPr>
    </w:p>
    <w:p>
      <w:pPr>
        <w:pStyle w:val="19"/>
        <w:rPr>
          <w:rFonts w:hint="eastAsia"/>
          <w:lang w:eastAsia="zh-CN"/>
        </w:rPr>
      </w:pPr>
    </w:p>
    <w:p>
      <w:pPr>
        <w:rPr>
          <w:rFonts w:hint="eastAsia"/>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53122D"/>
    <w:multiLevelType w:val="singleLevel"/>
    <w:tmpl w:val="8953122D"/>
    <w:lvl w:ilvl="0" w:tentative="0">
      <w:start w:val="1"/>
      <w:numFmt w:val="bullet"/>
      <w:lvlText w:val=""/>
      <w:lvlJc w:val="left"/>
      <w:pPr>
        <w:ind w:left="420" w:hanging="420"/>
      </w:pPr>
      <w:rPr>
        <w:rFonts w:hint="default" w:ascii="Wingdings" w:hAnsi="Wingdings"/>
      </w:rPr>
    </w:lvl>
  </w:abstractNum>
  <w:abstractNum w:abstractNumId="1">
    <w:nsid w:val="974D0FBC"/>
    <w:multiLevelType w:val="singleLevel"/>
    <w:tmpl w:val="974D0FBC"/>
    <w:lvl w:ilvl="0" w:tentative="0">
      <w:start w:val="1"/>
      <w:numFmt w:val="bullet"/>
      <w:lvlText w:val=""/>
      <w:lvlJc w:val="left"/>
      <w:pPr>
        <w:ind w:left="420" w:hanging="420"/>
      </w:pPr>
      <w:rPr>
        <w:rFonts w:hint="default" w:ascii="Wingdings" w:hAnsi="Wingdings"/>
      </w:rPr>
    </w:lvl>
  </w:abstractNum>
  <w:abstractNum w:abstractNumId="2">
    <w:nsid w:val="62193DCB"/>
    <w:multiLevelType w:val="singleLevel"/>
    <w:tmpl w:val="62193DCB"/>
    <w:lvl w:ilvl="0" w:tentative="0">
      <w:start w:val="1"/>
      <w:numFmt w:val="bullet"/>
      <w:lvlText w:val=""/>
      <w:lvlJc w:val="left"/>
      <w:pPr>
        <w:ind w:left="420" w:hanging="420"/>
      </w:pPr>
      <w:rPr>
        <w:rFonts w:hint="default" w:ascii="Wingdings" w:hAnsi="Wingdings"/>
      </w:rPr>
    </w:lvl>
  </w:abstractNum>
  <w:abstractNum w:abstractNumId="3">
    <w:nsid w:val="6F5CABF5"/>
    <w:multiLevelType w:val="singleLevel"/>
    <w:tmpl w:val="6F5CABF5"/>
    <w:lvl w:ilvl="0" w:tentative="0">
      <w:start w:val="1"/>
      <w:numFmt w:val="bullet"/>
      <w:lvlText w:val=""/>
      <w:lvlJc w:val="left"/>
      <w:pPr>
        <w:ind w:left="420" w:hanging="42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D52E7"/>
    <w:rsid w:val="066D64A6"/>
    <w:rsid w:val="0ADB102A"/>
    <w:rsid w:val="0B4947EE"/>
    <w:rsid w:val="0D02281D"/>
    <w:rsid w:val="0D7200D8"/>
    <w:rsid w:val="0F92605D"/>
    <w:rsid w:val="103B49BD"/>
    <w:rsid w:val="120D3A87"/>
    <w:rsid w:val="12FC75E4"/>
    <w:rsid w:val="130959A0"/>
    <w:rsid w:val="1B297BCF"/>
    <w:rsid w:val="1BF75E90"/>
    <w:rsid w:val="1D2A03CA"/>
    <w:rsid w:val="1E0B17A6"/>
    <w:rsid w:val="1EBE3B59"/>
    <w:rsid w:val="1FAF2E06"/>
    <w:rsid w:val="22E450E5"/>
    <w:rsid w:val="23C50C61"/>
    <w:rsid w:val="23C64227"/>
    <w:rsid w:val="26332138"/>
    <w:rsid w:val="2A9C392F"/>
    <w:rsid w:val="2B0905A0"/>
    <w:rsid w:val="2BB956BC"/>
    <w:rsid w:val="2D403B92"/>
    <w:rsid w:val="31413FFD"/>
    <w:rsid w:val="35057A8A"/>
    <w:rsid w:val="35466B78"/>
    <w:rsid w:val="3571235A"/>
    <w:rsid w:val="36A61BED"/>
    <w:rsid w:val="36C57FAB"/>
    <w:rsid w:val="396F1A5E"/>
    <w:rsid w:val="3A404E02"/>
    <w:rsid w:val="3F194FCA"/>
    <w:rsid w:val="3FE95A87"/>
    <w:rsid w:val="42323830"/>
    <w:rsid w:val="42632E47"/>
    <w:rsid w:val="43BB22D4"/>
    <w:rsid w:val="45A732BE"/>
    <w:rsid w:val="46237806"/>
    <w:rsid w:val="47C13FE1"/>
    <w:rsid w:val="4BF8462B"/>
    <w:rsid w:val="4F907CC5"/>
    <w:rsid w:val="52ED317D"/>
    <w:rsid w:val="548B6B24"/>
    <w:rsid w:val="54A60904"/>
    <w:rsid w:val="551F31D9"/>
    <w:rsid w:val="55F25558"/>
    <w:rsid w:val="5C881FB4"/>
    <w:rsid w:val="61211332"/>
    <w:rsid w:val="634F5097"/>
    <w:rsid w:val="635635C2"/>
    <w:rsid w:val="63FE3BB3"/>
    <w:rsid w:val="653E019F"/>
    <w:rsid w:val="6778354B"/>
    <w:rsid w:val="69735249"/>
    <w:rsid w:val="6A1D62F1"/>
    <w:rsid w:val="6EF37F3D"/>
    <w:rsid w:val="6F6B27A9"/>
    <w:rsid w:val="6FF765D8"/>
    <w:rsid w:val="76383FD1"/>
    <w:rsid w:val="78533050"/>
    <w:rsid w:val="79B60A9C"/>
    <w:rsid w:val="7D045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2"/>
    <w:qFormat/>
    <w:uiPriority w:val="0"/>
    <w:pPr>
      <w:spacing w:before="100" w:beforeAutospacing="1" w:after="100" w:afterAutospacing="1"/>
      <w:jc w:val="left"/>
    </w:pPr>
    <w:rPr>
      <w:rFonts w:hint="eastAsia" w:ascii="宋体" w:hAnsi="宋体" w:eastAsia="宋体" w:cs="宋体"/>
      <w:sz w:val="48"/>
      <w:szCs w:val="48"/>
      <w:lang w:val="en-US" w:eastAsia="zh-CN" w:bidi="ar"/>
    </w:rPr>
  </w:style>
  <w:style w:type="paragraph" w:styleId="4">
    <w:name w:val="heading 2"/>
    <w:basedOn w:val="1"/>
    <w:next w:val="1"/>
    <w:link w:val="2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pPr>
      <w:spacing w:line="600" w:lineRule="exact"/>
      <w:ind w:firstLine="600" w:firstLineChars="200"/>
    </w:pPr>
    <w:rPr>
      <w:rFonts w:ascii="仿宋_GB2312" w:hAnsi="仿宋_GB2312" w:eastAsia="仿宋_GB2312" w:cs="仿宋_GB2312"/>
      <w:bCs/>
      <w:sz w:val="30"/>
      <w:szCs w:val="30"/>
    </w:rPr>
  </w:style>
  <w:style w:type="paragraph" w:styleId="6">
    <w:name w:val="index 8"/>
    <w:basedOn w:val="1"/>
    <w:next w:val="1"/>
    <w:qFormat/>
    <w:uiPriority w:val="99"/>
    <w:pPr>
      <w:ind w:left="2940"/>
      <w:jc w:val="left"/>
    </w:pPr>
    <w:rPr>
      <w:rFonts w:ascii="宋体" w:hAnsi="Times New Roman"/>
      <w:sz w:val="24"/>
      <w:szCs w:val="21"/>
    </w:rPr>
  </w:style>
  <w:style w:type="paragraph" w:styleId="7">
    <w:name w:val="Body Text"/>
    <w:basedOn w:val="1"/>
    <w:next w:val="6"/>
    <w:qFormat/>
    <w:uiPriority w:val="99"/>
    <w:pPr>
      <w:spacing w:after="120"/>
    </w:pPr>
  </w:style>
  <w:style w:type="paragraph" w:styleId="8">
    <w:name w:val="Body Text Indent 2"/>
    <w:basedOn w:val="1"/>
    <w:qFormat/>
    <w:uiPriority w:val="0"/>
    <w:pPr>
      <w:spacing w:after="120" w:afterLines="0" w:afterAutospacing="0" w:line="480" w:lineRule="auto"/>
      <w:ind w:left="420" w:leftChars="2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2"/>
    <w:basedOn w:val="1"/>
    <w:next w:val="1"/>
    <w:qFormat/>
    <w:uiPriority w:val="39"/>
    <w:pPr>
      <w:ind w:left="420" w:leftChars="200"/>
    </w:pPr>
  </w:style>
  <w:style w:type="paragraph" w:styleId="12">
    <w:name w:val="Normal (Web)"/>
    <w:basedOn w:val="1"/>
    <w:next w:val="8"/>
    <w:qFormat/>
    <w:uiPriority w:val="0"/>
    <w:pPr>
      <w:spacing w:before="100" w:beforeAutospacing="1" w:after="100" w:afterAutospacing="1"/>
      <w:ind w:left="0" w:right="0"/>
      <w:jc w:val="left"/>
    </w:pPr>
    <w:rPr>
      <w:kern w:val="0"/>
      <w:sz w:val="24"/>
      <w:lang w:val="en-US" w:eastAsia="zh-CN" w:bidi="ar"/>
    </w:rPr>
  </w:style>
  <w:style w:type="paragraph" w:styleId="13">
    <w:name w:val="Title"/>
    <w:basedOn w:val="1"/>
    <w:next w:val="1"/>
    <w:qFormat/>
    <w:uiPriority w:val="0"/>
    <w:pPr>
      <w:jc w:val="center"/>
      <w:outlineLvl w:val="0"/>
    </w:pPr>
    <w:rPr>
      <w:rFonts w:ascii="Arial" w:hAnsi="Arial"/>
      <w:b/>
      <w:sz w:val="32"/>
    </w:rPr>
  </w:style>
  <w:style w:type="table" w:styleId="15">
    <w:name w:val="Table Grid"/>
    <w:basedOn w:val="1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Hyperlink"/>
    <w:basedOn w:val="16"/>
    <w:qFormat/>
    <w:uiPriority w:val="0"/>
    <w:rPr>
      <w:color w:val="0000FF"/>
      <w:u w:val="single"/>
    </w:rPr>
  </w:style>
  <w:style w:type="paragraph" w:customStyle="1" w:styleId="19">
    <w:name w:val="index 61"/>
    <w:basedOn w:val="1"/>
    <w:next w:val="1"/>
    <w:qFormat/>
    <w:uiPriority w:val="0"/>
    <w:pPr>
      <w:ind w:left="1000" w:leftChars="1000"/>
    </w:pPr>
    <w:rPr>
      <w:rFonts w:hint="eastAsia"/>
      <w:sz w:val="21"/>
    </w:rPr>
  </w:style>
  <w:style w:type="paragraph" w:customStyle="1" w:styleId="20">
    <w:name w:val="index 6"/>
    <w:basedOn w:val="1"/>
    <w:next w:val="1"/>
    <w:qFormat/>
    <w:uiPriority w:val="0"/>
    <w:pPr>
      <w:ind w:left="1000" w:leftChars="1000"/>
    </w:pPr>
  </w:style>
  <w:style w:type="character" w:customStyle="1" w:styleId="21">
    <w:name w:val="标题 2 Char"/>
    <w:link w:val="4"/>
    <w:qFormat/>
    <w:uiPriority w:val="0"/>
    <w:rPr>
      <w:rFonts w:ascii="Arial" w:hAnsi="Arial" w:eastAsia="黑体"/>
      <w:b/>
      <w:sz w:val="32"/>
    </w:rPr>
  </w:style>
  <w:style w:type="character" w:customStyle="1" w:styleId="22">
    <w:name w:val="标题 1 Char"/>
    <w:link w:val="3"/>
    <w:qFormat/>
    <w:uiPriority w:val="0"/>
    <w:rPr>
      <w:rFonts w:hint="eastAsia" w:ascii="宋体" w:hAnsi="宋体" w:eastAsia="宋体" w:cs="宋体"/>
      <w:sz w:val="48"/>
      <w:szCs w:val="48"/>
      <w:lang w:val="en-US" w:eastAsia="zh-CN" w:bidi="ar"/>
    </w:rPr>
  </w:style>
  <w:style w:type="paragraph" w:customStyle="1" w:styleId="23">
    <w:name w:val="_Style 20"/>
    <w:basedOn w:val="1"/>
    <w:next w:val="1"/>
    <w:qFormat/>
    <w:uiPriority w:val="0"/>
    <w:pPr>
      <w:pBdr>
        <w:bottom w:val="single" w:color="auto" w:sz="6" w:space="1"/>
      </w:pBdr>
      <w:jc w:val="center"/>
    </w:pPr>
    <w:rPr>
      <w:rFonts w:ascii="Arial" w:eastAsia="宋体"/>
      <w:vanish/>
      <w:sz w:val="16"/>
    </w:rPr>
  </w:style>
  <w:style w:type="paragraph" w:customStyle="1" w:styleId="24">
    <w:name w:val="_Style 21"/>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2021-09-08T03:23:37Z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40852D022452414CBB73284E4A5BF037</vt:lpwstr>
  </property>
</Properties>
</file>